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FF7F6" w14:textId="174F1E55" w:rsidR="00BC65BD" w:rsidRPr="006B26BC" w:rsidRDefault="00BC65BD" w:rsidP="009A1D53">
      <w:pPr>
        <w:pStyle w:val="paragraph"/>
        <w:spacing w:beforeAutospacing="0" w:after="0" w:afterAutospacing="0"/>
        <w:jc w:val="center"/>
        <w:textAlignment w:val="baseline"/>
        <w:rPr>
          <w:rStyle w:val="normaltextrun"/>
          <w:rFonts w:asciiTheme="minorHAnsi" w:hAnsiTheme="minorHAnsi" w:cstheme="minorHAnsi"/>
          <w:b/>
          <w:bCs/>
          <w:color w:val="000000"/>
          <w:sz w:val="22"/>
          <w:szCs w:val="22"/>
        </w:rPr>
      </w:pPr>
      <w:r w:rsidRPr="006B26BC">
        <w:rPr>
          <w:rStyle w:val="normaltextrun"/>
          <w:rFonts w:asciiTheme="minorHAnsi" w:hAnsiTheme="minorHAnsi" w:cstheme="minorHAnsi"/>
          <w:b/>
          <w:bCs/>
          <w:color w:val="000000"/>
          <w:sz w:val="22"/>
          <w:szCs w:val="22"/>
        </w:rPr>
        <w:t>ACCORDO INTEGRATIVO REGIONALE MEDIC</w:t>
      </w:r>
      <w:r w:rsidR="00520F68">
        <w:rPr>
          <w:rStyle w:val="normaltextrun"/>
          <w:rFonts w:asciiTheme="minorHAnsi" w:hAnsiTheme="minorHAnsi" w:cstheme="minorHAnsi"/>
          <w:b/>
          <w:bCs/>
          <w:color w:val="000000"/>
          <w:sz w:val="22"/>
          <w:szCs w:val="22"/>
        </w:rPr>
        <w:t>I DI MEDICINA GENERALE ANNO 2025</w:t>
      </w:r>
    </w:p>
    <w:p w14:paraId="2F288B4F" w14:textId="151B7124" w:rsidR="00BC65BD" w:rsidRPr="009A1D53" w:rsidRDefault="00BC65BD" w:rsidP="009A1D53">
      <w:pPr>
        <w:pStyle w:val="paragraph"/>
        <w:spacing w:beforeAutospacing="0" w:after="0" w:afterAutospacing="0"/>
        <w:jc w:val="center"/>
        <w:textAlignment w:val="baseline"/>
        <w:rPr>
          <w:rStyle w:val="normaltextrun"/>
          <w:rFonts w:asciiTheme="minorHAnsi" w:hAnsiTheme="minorHAnsi" w:cstheme="minorHAnsi"/>
          <w:b/>
          <w:bCs/>
          <w:color w:val="000000"/>
          <w:sz w:val="22"/>
          <w:szCs w:val="22"/>
        </w:rPr>
      </w:pPr>
      <w:r w:rsidRPr="009A1D53">
        <w:rPr>
          <w:rStyle w:val="normaltextrun"/>
          <w:rFonts w:asciiTheme="minorHAnsi" w:hAnsiTheme="minorHAnsi" w:cstheme="minorHAnsi"/>
          <w:b/>
          <w:bCs/>
          <w:color w:val="000000"/>
          <w:sz w:val="22"/>
          <w:szCs w:val="22"/>
        </w:rPr>
        <w:t>PREINTESA</w:t>
      </w:r>
    </w:p>
    <w:p w14:paraId="417521C0"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b/>
          <w:bCs/>
          <w:color w:val="000000"/>
          <w:sz w:val="22"/>
          <w:szCs w:val="22"/>
        </w:rPr>
      </w:pPr>
    </w:p>
    <w:p w14:paraId="459CAA9A" w14:textId="77777777" w:rsidR="00BC65BD" w:rsidRDefault="00BC65BD" w:rsidP="009A1D53">
      <w:pPr>
        <w:pStyle w:val="paragraph"/>
        <w:spacing w:beforeAutospacing="0" w:after="120" w:afterAutospacing="0"/>
        <w:jc w:val="both"/>
        <w:rPr>
          <w:rStyle w:val="normaltextrun"/>
          <w:rFonts w:asciiTheme="minorHAnsi" w:hAnsiTheme="minorHAnsi" w:cstheme="minorHAnsi"/>
          <w:b/>
          <w:bCs/>
          <w:color w:val="000000"/>
          <w:sz w:val="22"/>
          <w:szCs w:val="22"/>
        </w:rPr>
      </w:pPr>
      <w:r w:rsidRPr="009A1D53">
        <w:rPr>
          <w:rStyle w:val="normaltextrun"/>
          <w:rFonts w:asciiTheme="minorHAnsi" w:hAnsiTheme="minorHAnsi" w:cstheme="minorHAnsi"/>
          <w:b/>
          <w:bCs/>
          <w:color w:val="000000"/>
          <w:sz w:val="22"/>
          <w:szCs w:val="22"/>
        </w:rPr>
        <w:t>Premessa</w:t>
      </w:r>
    </w:p>
    <w:p w14:paraId="02D1EC4D" w14:textId="5028DCAD" w:rsidR="00520F68" w:rsidRDefault="00520F68" w:rsidP="00520F68">
      <w:pPr>
        <w:spacing w:before="100" w:beforeAutospacing="1" w:after="100" w:afterAutospacing="1" w:line="240" w:lineRule="auto"/>
        <w:jc w:val="both"/>
        <w:outlineLvl w:val="0"/>
        <w:rPr>
          <w:rFonts w:eastAsia="Times New Roman" w:cs="Calibri"/>
          <w:bCs/>
          <w:lang w:eastAsia="it-IT"/>
        </w:rPr>
      </w:pPr>
      <w:r w:rsidRPr="00520F68">
        <w:rPr>
          <w:rStyle w:val="normaltextrun"/>
          <w:rFonts w:asciiTheme="minorHAnsi" w:hAnsiTheme="minorHAnsi" w:cstheme="minorHAnsi"/>
          <w:bCs/>
          <w:color w:val="000000"/>
        </w:rPr>
        <w:t xml:space="preserve">Il presente Accordo Integrativo </w:t>
      </w:r>
      <w:r>
        <w:rPr>
          <w:rStyle w:val="normaltextrun"/>
          <w:rFonts w:asciiTheme="minorHAnsi" w:hAnsiTheme="minorHAnsi" w:cstheme="minorHAnsi"/>
          <w:bCs/>
          <w:color w:val="000000"/>
        </w:rPr>
        <w:t>Regionale (AIR) giunge a valle dell’approvazione, in sede di Comitato Regionale per la Medicina Generale, del</w:t>
      </w:r>
      <w:r>
        <w:t xml:space="preserve">le </w:t>
      </w:r>
      <w:r w:rsidRPr="00520F68">
        <w:rPr>
          <w:rFonts w:eastAsia="Times New Roman" w:cs="Calibri"/>
          <w:bCs/>
          <w:i/>
          <w:lang w:eastAsia="it-IT"/>
        </w:rPr>
        <w:t>Linee di Indirizzo per l’adozione dei Regolamenti di funzionamento interno delle Aggregazioni Funzionali Territoriali (AFT) da parte delle Aziende Socio-Sanitarie Territoriali (ASST)</w:t>
      </w:r>
      <w:r>
        <w:rPr>
          <w:rFonts w:eastAsia="Times New Roman" w:cs="Calibri"/>
          <w:b/>
          <w:bCs/>
          <w:lang w:eastAsia="it-IT"/>
        </w:rPr>
        <w:t xml:space="preserve"> </w:t>
      </w:r>
      <w:r w:rsidRPr="00520F68">
        <w:rPr>
          <w:rFonts w:eastAsia="Times New Roman" w:cs="Calibri"/>
          <w:bCs/>
          <w:lang w:eastAsia="it-IT"/>
        </w:rPr>
        <w:t xml:space="preserve">e </w:t>
      </w:r>
      <w:r>
        <w:rPr>
          <w:rFonts w:eastAsia="Times New Roman" w:cs="Calibri"/>
          <w:bCs/>
          <w:lang w:eastAsia="it-IT"/>
        </w:rPr>
        <w:t xml:space="preserve">ha l’ambizione di </w:t>
      </w:r>
      <w:r w:rsidR="000405A7">
        <w:rPr>
          <w:rFonts w:eastAsia="Times New Roman" w:cs="Calibri"/>
          <w:bCs/>
          <w:lang w:eastAsia="it-IT"/>
        </w:rPr>
        <w:t>arricchire</w:t>
      </w:r>
      <w:r>
        <w:rPr>
          <w:rFonts w:eastAsia="Times New Roman" w:cs="Calibri"/>
          <w:bCs/>
          <w:lang w:eastAsia="it-IT"/>
        </w:rPr>
        <w:t xml:space="preserve"> il percorso avviato con l’AIR 2024 in tema di Governo Clinico, inteso in senso ampio ovvero </w:t>
      </w:r>
      <w:r w:rsidR="000405A7">
        <w:rPr>
          <w:rFonts w:eastAsia="Times New Roman" w:cs="Calibri"/>
          <w:bCs/>
          <w:lang w:eastAsia="it-IT"/>
        </w:rPr>
        <w:t>inclusivo di tutte le progettualità e attività innovative della Medicina Generale, secondo un quadro logico coerente con l’assetto normativo vigente e orientato a garantire un approccio omogeneo su tutto il territorio regionale.</w:t>
      </w:r>
    </w:p>
    <w:p w14:paraId="52CAFBC0" w14:textId="739CC6FB" w:rsidR="000405A7" w:rsidRDefault="000405A7" w:rsidP="00520F68">
      <w:pPr>
        <w:spacing w:before="100" w:beforeAutospacing="1" w:after="100" w:afterAutospacing="1" w:line="240" w:lineRule="auto"/>
        <w:jc w:val="both"/>
        <w:outlineLvl w:val="0"/>
        <w:rPr>
          <w:rFonts w:eastAsia="Times New Roman" w:cs="Calibri"/>
          <w:bCs/>
          <w:lang w:eastAsia="it-IT"/>
        </w:rPr>
      </w:pPr>
      <w:r>
        <w:rPr>
          <w:rFonts w:eastAsia="Times New Roman" w:cs="Calibri"/>
          <w:bCs/>
          <w:lang w:eastAsia="it-IT"/>
        </w:rPr>
        <w:t xml:space="preserve">In sede di Delegazione Trattante della Medicina Generale si è stabilito di individuare due fasi di </w:t>
      </w:r>
      <w:r w:rsidRPr="000405A7">
        <w:rPr>
          <w:rFonts w:eastAsia="Times New Roman" w:cs="Calibri"/>
          <w:bCs/>
          <w:i/>
          <w:lang w:eastAsia="it-IT"/>
        </w:rPr>
        <w:t>Intesa</w:t>
      </w:r>
      <w:r>
        <w:rPr>
          <w:rFonts w:eastAsia="Times New Roman" w:cs="Calibri"/>
          <w:bCs/>
          <w:lang w:eastAsia="it-IT"/>
        </w:rPr>
        <w:t xml:space="preserve"> 2025:</w:t>
      </w:r>
    </w:p>
    <w:p w14:paraId="62C67C55" w14:textId="53902270" w:rsidR="000405A7" w:rsidRDefault="000405A7" w:rsidP="0067743C">
      <w:pPr>
        <w:pStyle w:val="Paragrafoelenco"/>
        <w:numPr>
          <w:ilvl w:val="0"/>
          <w:numId w:val="5"/>
        </w:numPr>
        <w:spacing w:before="100" w:beforeAutospacing="1" w:after="100" w:afterAutospacing="1" w:line="240" w:lineRule="auto"/>
        <w:jc w:val="both"/>
        <w:outlineLvl w:val="0"/>
        <w:rPr>
          <w:rFonts w:eastAsia="Times New Roman" w:cs="Calibri"/>
          <w:b/>
          <w:bCs/>
          <w:lang w:eastAsia="it-IT"/>
        </w:rPr>
      </w:pPr>
      <w:r>
        <w:rPr>
          <w:rFonts w:eastAsia="Times New Roman" w:cs="Calibri"/>
          <w:b/>
          <w:bCs/>
          <w:lang w:eastAsia="it-IT"/>
        </w:rPr>
        <w:t xml:space="preserve">Governo Clinico </w:t>
      </w:r>
      <w:r w:rsidR="001E3C08">
        <w:rPr>
          <w:rFonts w:eastAsia="Times New Roman" w:cs="Calibri"/>
          <w:b/>
          <w:bCs/>
          <w:lang w:eastAsia="it-IT"/>
        </w:rPr>
        <w:t>e Presa In Carico</w:t>
      </w:r>
    </w:p>
    <w:p w14:paraId="54A9969B" w14:textId="0D16A1AD" w:rsidR="000405A7" w:rsidRDefault="000405A7" w:rsidP="0067743C">
      <w:pPr>
        <w:pStyle w:val="Paragrafoelenco"/>
        <w:numPr>
          <w:ilvl w:val="0"/>
          <w:numId w:val="5"/>
        </w:numPr>
        <w:spacing w:before="100" w:beforeAutospacing="1" w:after="100" w:afterAutospacing="1" w:line="240" w:lineRule="auto"/>
        <w:jc w:val="both"/>
        <w:outlineLvl w:val="0"/>
        <w:rPr>
          <w:rFonts w:eastAsia="Times New Roman" w:cs="Calibri"/>
          <w:b/>
          <w:bCs/>
          <w:lang w:eastAsia="it-IT"/>
        </w:rPr>
      </w:pPr>
      <w:r>
        <w:rPr>
          <w:rFonts w:eastAsia="Times New Roman" w:cs="Calibri"/>
          <w:b/>
          <w:bCs/>
          <w:lang w:eastAsia="it-IT"/>
        </w:rPr>
        <w:t>Fattori Produttivi</w:t>
      </w:r>
    </w:p>
    <w:p w14:paraId="1C5A4F23" w14:textId="6817BD00" w:rsidR="000E2250" w:rsidRDefault="000E2250" w:rsidP="000E2250">
      <w:pPr>
        <w:spacing w:before="100" w:beforeAutospacing="1" w:after="100" w:afterAutospacing="1" w:line="240" w:lineRule="auto"/>
        <w:jc w:val="both"/>
        <w:outlineLvl w:val="0"/>
        <w:rPr>
          <w:rFonts w:eastAsia="Times New Roman" w:cs="Calibri"/>
          <w:bCs/>
          <w:lang w:eastAsia="it-IT"/>
        </w:rPr>
      </w:pPr>
      <w:r>
        <w:rPr>
          <w:rFonts w:eastAsia="Times New Roman" w:cs="Calibri"/>
          <w:bCs/>
          <w:lang w:eastAsia="it-IT"/>
        </w:rPr>
        <w:t xml:space="preserve">Il focus sulle due fasi di </w:t>
      </w:r>
      <w:r w:rsidRPr="000E2250">
        <w:rPr>
          <w:rFonts w:eastAsia="Times New Roman" w:cs="Calibri"/>
          <w:bCs/>
          <w:i/>
          <w:lang w:eastAsia="it-IT"/>
        </w:rPr>
        <w:t>Intesa</w:t>
      </w:r>
      <w:r w:rsidR="0016362A">
        <w:rPr>
          <w:rFonts w:eastAsia="Times New Roman" w:cs="Calibri"/>
          <w:bCs/>
          <w:lang w:eastAsia="it-IT"/>
        </w:rPr>
        <w:t>, con impegno di</w:t>
      </w:r>
      <w:r>
        <w:rPr>
          <w:rFonts w:eastAsia="Times New Roman" w:cs="Calibri"/>
          <w:bCs/>
          <w:lang w:eastAsia="it-IT"/>
        </w:rPr>
        <w:t xml:space="preserve"> chiusura lavori entro settembre c.a., deriva dalla necessità di affrontare a tutto tondo le possibili implicazioni delle Forme Associative Avanzate della Medicina Generale e delle Aggregazioni Funzionali Territoriali (AFT) nella rete delle Case di Comunità </w:t>
      </w:r>
      <w:proofErr w:type="spellStart"/>
      <w:r>
        <w:rPr>
          <w:rFonts w:eastAsia="Times New Roman" w:cs="Calibri"/>
          <w:bCs/>
          <w:lang w:eastAsia="it-IT"/>
        </w:rPr>
        <w:t>Hub</w:t>
      </w:r>
      <w:proofErr w:type="spellEnd"/>
      <w:r>
        <w:rPr>
          <w:rFonts w:eastAsia="Times New Roman" w:cs="Calibri"/>
          <w:bCs/>
          <w:lang w:eastAsia="it-IT"/>
        </w:rPr>
        <w:t xml:space="preserve"> e </w:t>
      </w:r>
      <w:proofErr w:type="spellStart"/>
      <w:r>
        <w:rPr>
          <w:rFonts w:eastAsia="Times New Roman" w:cs="Calibri"/>
          <w:bCs/>
          <w:lang w:eastAsia="it-IT"/>
        </w:rPr>
        <w:t>Spoke</w:t>
      </w:r>
      <w:proofErr w:type="spellEnd"/>
      <w:r>
        <w:rPr>
          <w:rFonts w:eastAsia="Times New Roman" w:cs="Calibri"/>
          <w:bCs/>
          <w:lang w:eastAsia="it-IT"/>
        </w:rPr>
        <w:t xml:space="preserve"> nel rispetto di un pilastro della Medicina Generale: </w:t>
      </w:r>
      <w:r w:rsidRPr="000E2250">
        <w:rPr>
          <w:rFonts w:eastAsia="Times New Roman" w:cs="Calibri"/>
          <w:bCs/>
          <w:i/>
          <w:lang w:eastAsia="it-IT"/>
        </w:rPr>
        <w:t>la prossimità di cura</w:t>
      </w:r>
      <w:r>
        <w:rPr>
          <w:rFonts w:eastAsia="Times New Roman" w:cs="Calibri"/>
          <w:bCs/>
          <w:lang w:eastAsia="it-IT"/>
        </w:rPr>
        <w:t>.</w:t>
      </w:r>
    </w:p>
    <w:p w14:paraId="3B650CCF" w14:textId="57A5A99A" w:rsidR="000E2250" w:rsidRDefault="000E2250" w:rsidP="000E2250">
      <w:pPr>
        <w:spacing w:before="100" w:beforeAutospacing="1" w:after="100" w:afterAutospacing="1" w:line="240" w:lineRule="auto"/>
        <w:jc w:val="both"/>
        <w:outlineLvl w:val="0"/>
        <w:rPr>
          <w:rFonts w:eastAsia="Times New Roman" w:cs="Calibri"/>
          <w:bCs/>
          <w:lang w:eastAsia="it-IT"/>
        </w:rPr>
      </w:pPr>
      <w:r>
        <w:rPr>
          <w:rFonts w:eastAsia="Times New Roman" w:cs="Calibri"/>
          <w:bCs/>
          <w:lang w:eastAsia="it-IT"/>
        </w:rPr>
        <w:t>Il presente atto, pertanto, affronta il Governo Clinico, come sopra richiamato, nella sua accezione più ampia.</w:t>
      </w:r>
    </w:p>
    <w:p w14:paraId="3E096B4A" w14:textId="40719EFB" w:rsidR="001E3C08" w:rsidRDefault="001E3C08" w:rsidP="000E2250">
      <w:pPr>
        <w:spacing w:before="100" w:beforeAutospacing="1" w:after="100" w:afterAutospacing="1" w:line="240" w:lineRule="auto"/>
        <w:jc w:val="both"/>
        <w:outlineLvl w:val="0"/>
        <w:rPr>
          <w:rFonts w:eastAsia="Times New Roman" w:cs="Calibri"/>
          <w:b/>
          <w:bCs/>
          <w:lang w:eastAsia="it-IT"/>
        </w:rPr>
      </w:pPr>
      <w:r w:rsidRPr="001E3C08">
        <w:rPr>
          <w:rFonts w:eastAsia="Times New Roman" w:cs="Calibri"/>
          <w:b/>
          <w:bCs/>
          <w:lang w:eastAsia="it-IT"/>
        </w:rPr>
        <w:t>GOVERNO CLINICO</w:t>
      </w:r>
      <w:r>
        <w:rPr>
          <w:rFonts w:eastAsia="Times New Roman" w:cs="Calibri"/>
          <w:b/>
          <w:bCs/>
          <w:lang w:eastAsia="it-IT"/>
        </w:rPr>
        <w:t xml:space="preserve"> e PRESA IN CARICO</w:t>
      </w:r>
    </w:p>
    <w:p w14:paraId="270CEF3B" w14:textId="23B741A1" w:rsidR="00520F68" w:rsidRDefault="00520F68" w:rsidP="00520F68">
      <w:pPr>
        <w:pStyle w:val="paragraph"/>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Le parti concordano che per il 2025 </w:t>
      </w:r>
      <w:r w:rsidR="001E3C08">
        <w:rPr>
          <w:rFonts w:asciiTheme="minorHAnsi" w:hAnsiTheme="minorHAnsi" w:cstheme="minorHAnsi"/>
          <w:bCs/>
          <w:color w:val="000000" w:themeColor="text1"/>
          <w:sz w:val="22"/>
          <w:szCs w:val="22"/>
        </w:rPr>
        <w:t>le attività di Governo Clinico e di Presa in Carico</w:t>
      </w:r>
      <w:r>
        <w:rPr>
          <w:rFonts w:asciiTheme="minorHAnsi" w:hAnsiTheme="minorHAnsi" w:cstheme="minorHAnsi"/>
          <w:bCs/>
          <w:color w:val="000000" w:themeColor="text1"/>
          <w:sz w:val="22"/>
          <w:szCs w:val="22"/>
        </w:rPr>
        <w:t xml:space="preserve"> debbano concorrere al raggiungimento degli obiettivi strategici delle ASST, in piena coerenza </w:t>
      </w:r>
      <w:bookmarkStart w:id="0" w:name="_Hlk202628301"/>
      <w:r>
        <w:rPr>
          <w:rFonts w:asciiTheme="minorHAnsi" w:hAnsiTheme="minorHAnsi" w:cstheme="minorHAnsi"/>
          <w:bCs/>
          <w:color w:val="000000" w:themeColor="text1"/>
          <w:sz w:val="22"/>
          <w:szCs w:val="22"/>
        </w:rPr>
        <w:t>con le previsioni di cui alla DGR 4434 del 26.05.</w:t>
      </w:r>
      <w:r w:rsidRPr="001B6E9E">
        <w:rPr>
          <w:rFonts w:asciiTheme="minorHAnsi" w:hAnsiTheme="minorHAnsi" w:cstheme="minorHAnsi"/>
          <w:bCs/>
          <w:color w:val="000000" w:themeColor="text1"/>
          <w:sz w:val="22"/>
          <w:szCs w:val="22"/>
        </w:rPr>
        <w:t>2025</w:t>
      </w:r>
      <w:r>
        <w:rPr>
          <w:rFonts w:asciiTheme="minorHAnsi" w:hAnsiTheme="minorHAnsi" w:cstheme="minorHAnsi"/>
          <w:bCs/>
          <w:color w:val="000000" w:themeColor="text1"/>
          <w:sz w:val="22"/>
          <w:szCs w:val="22"/>
        </w:rPr>
        <w:t xml:space="preserve"> </w:t>
      </w:r>
      <w:bookmarkEnd w:id="0"/>
      <w:r>
        <w:rPr>
          <w:rFonts w:asciiTheme="minorHAnsi" w:hAnsiTheme="minorHAnsi" w:cstheme="minorHAnsi"/>
          <w:bCs/>
          <w:color w:val="000000" w:themeColor="text1"/>
          <w:sz w:val="22"/>
          <w:szCs w:val="22"/>
        </w:rPr>
        <w:t xml:space="preserve">avente </w:t>
      </w:r>
      <w:r w:rsidR="001E3C08">
        <w:rPr>
          <w:rFonts w:asciiTheme="minorHAnsi" w:hAnsiTheme="minorHAnsi" w:cstheme="minorHAnsi"/>
          <w:bCs/>
          <w:color w:val="000000" w:themeColor="text1"/>
          <w:sz w:val="22"/>
          <w:szCs w:val="22"/>
        </w:rPr>
        <w:t>ad</w:t>
      </w:r>
      <w:r>
        <w:rPr>
          <w:rFonts w:asciiTheme="minorHAnsi" w:hAnsiTheme="minorHAnsi" w:cstheme="minorHAnsi"/>
          <w:bCs/>
          <w:color w:val="000000" w:themeColor="text1"/>
          <w:sz w:val="22"/>
          <w:szCs w:val="22"/>
        </w:rPr>
        <w:t xml:space="preserve"> oggetto</w:t>
      </w:r>
      <w:r w:rsidRPr="001B6E9E">
        <w:rPr>
          <w:rFonts w:asciiTheme="minorHAnsi" w:hAnsiTheme="minorHAnsi" w:cstheme="minorHAnsi"/>
          <w:bCs/>
          <w:color w:val="000000" w:themeColor="text1"/>
          <w:sz w:val="22"/>
          <w:szCs w:val="22"/>
        </w:rPr>
        <w:t xml:space="preserve"> </w:t>
      </w:r>
      <w:r w:rsidRPr="001B6E9E">
        <w:rPr>
          <w:rFonts w:asciiTheme="minorHAnsi" w:hAnsiTheme="minorHAnsi" w:cstheme="minorHAnsi"/>
          <w:bCs/>
          <w:i/>
          <w:iCs/>
          <w:color w:val="000000" w:themeColor="text1"/>
          <w:sz w:val="22"/>
          <w:szCs w:val="22"/>
        </w:rPr>
        <w:t xml:space="preserve">DETERMINAZIONI IN ORDINE AGLI OBIETTIVI DELLE AGENZIE DI TUTELA DELLA SALUTE (A.T.S.), DELLE AZIENDE SOCIO SANITARIE TERRITORIALI (A.S.S.T.) E DELL’ AGENZIA REGIONALE </w:t>
      </w:r>
      <w:r w:rsidRPr="001E3C08">
        <w:rPr>
          <w:rFonts w:asciiTheme="minorHAnsi" w:hAnsiTheme="minorHAnsi" w:cstheme="minorHAnsi"/>
          <w:bCs/>
          <w:color w:val="000000" w:themeColor="text1"/>
          <w:sz w:val="22"/>
          <w:szCs w:val="22"/>
        </w:rPr>
        <w:t>EMERGENZA URGENZA (A.R.E.U.) – ANNO 2025</w:t>
      </w:r>
      <w:r>
        <w:rPr>
          <w:rFonts w:asciiTheme="minorHAnsi" w:hAnsiTheme="minorHAnsi" w:cstheme="minorHAnsi"/>
          <w:bCs/>
          <w:color w:val="000000" w:themeColor="text1"/>
          <w:sz w:val="22"/>
          <w:szCs w:val="22"/>
        </w:rPr>
        <w:t>.</w:t>
      </w:r>
    </w:p>
    <w:p w14:paraId="292D429F" w14:textId="71BAA6BA" w:rsidR="00353735" w:rsidRDefault="00353735" w:rsidP="00520F68">
      <w:pPr>
        <w:pStyle w:val="paragraph"/>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Le Aree </w:t>
      </w:r>
      <w:r w:rsidR="0016362A">
        <w:rPr>
          <w:rFonts w:asciiTheme="minorHAnsi" w:hAnsiTheme="minorHAnsi" w:cstheme="minorHAnsi"/>
          <w:bCs/>
          <w:color w:val="000000" w:themeColor="text1"/>
          <w:sz w:val="22"/>
          <w:szCs w:val="22"/>
        </w:rPr>
        <w:t xml:space="preserve">di interesse </w:t>
      </w:r>
      <w:r>
        <w:rPr>
          <w:rFonts w:asciiTheme="minorHAnsi" w:hAnsiTheme="minorHAnsi" w:cstheme="minorHAnsi"/>
          <w:bCs/>
          <w:color w:val="000000" w:themeColor="text1"/>
          <w:sz w:val="22"/>
          <w:szCs w:val="22"/>
        </w:rPr>
        <w:t>di cui alla DGR 4434 del 26.05.</w:t>
      </w:r>
      <w:r w:rsidRPr="001B6E9E">
        <w:rPr>
          <w:rFonts w:asciiTheme="minorHAnsi" w:hAnsiTheme="minorHAnsi" w:cstheme="minorHAnsi"/>
          <w:bCs/>
          <w:color w:val="000000" w:themeColor="text1"/>
          <w:sz w:val="22"/>
          <w:szCs w:val="22"/>
        </w:rPr>
        <w:t>2025</w:t>
      </w:r>
      <w:r>
        <w:rPr>
          <w:rFonts w:asciiTheme="minorHAnsi" w:hAnsiTheme="minorHAnsi" w:cstheme="minorHAnsi"/>
          <w:bCs/>
          <w:color w:val="000000" w:themeColor="text1"/>
          <w:sz w:val="22"/>
          <w:szCs w:val="22"/>
        </w:rPr>
        <w:t xml:space="preserve"> sono così individuate:</w:t>
      </w:r>
    </w:p>
    <w:p w14:paraId="2C2841E1" w14:textId="42CDE0C9" w:rsidR="00353735" w:rsidRDefault="00353735" w:rsidP="0067743C">
      <w:pPr>
        <w:pStyle w:val="paragraph"/>
        <w:numPr>
          <w:ilvl w:val="0"/>
          <w:numId w:val="8"/>
        </w:numPr>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Farmaceutica</w:t>
      </w:r>
    </w:p>
    <w:p w14:paraId="023D4C1B" w14:textId="147EC170" w:rsidR="00353735" w:rsidRDefault="00353735" w:rsidP="0067743C">
      <w:pPr>
        <w:pStyle w:val="paragraph"/>
        <w:numPr>
          <w:ilvl w:val="0"/>
          <w:numId w:val="8"/>
        </w:numPr>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NSG</w:t>
      </w:r>
    </w:p>
    <w:p w14:paraId="7D287789" w14:textId="4601C525" w:rsidR="00353735" w:rsidRDefault="00353735" w:rsidP="0067743C">
      <w:pPr>
        <w:pStyle w:val="paragraph"/>
        <w:numPr>
          <w:ilvl w:val="0"/>
          <w:numId w:val="8"/>
        </w:numPr>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Prevenzione</w:t>
      </w:r>
    </w:p>
    <w:p w14:paraId="03754C6E" w14:textId="6C6D8E34" w:rsidR="00353735" w:rsidRDefault="00353735" w:rsidP="0067743C">
      <w:pPr>
        <w:pStyle w:val="paragraph"/>
        <w:numPr>
          <w:ilvl w:val="0"/>
          <w:numId w:val="8"/>
        </w:numPr>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Rete territoriale</w:t>
      </w:r>
    </w:p>
    <w:p w14:paraId="5DCFF731" w14:textId="436C883B" w:rsidR="00353735" w:rsidRDefault="00353735" w:rsidP="0067743C">
      <w:pPr>
        <w:pStyle w:val="paragraph"/>
        <w:numPr>
          <w:ilvl w:val="0"/>
          <w:numId w:val="8"/>
        </w:numPr>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Telemedicina</w:t>
      </w:r>
    </w:p>
    <w:p w14:paraId="35334934" w14:textId="4BD0C5F7" w:rsidR="00353735" w:rsidRDefault="00353735" w:rsidP="00353735">
      <w:pPr>
        <w:pStyle w:val="paragraph"/>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lastRenderedPageBreak/>
        <w:t>Si rende opportuno in questa sede un richiamo al Nuovo Sistema di Garanzia (NSG) così come introdotto dal DM 77/2022 all’</w:t>
      </w:r>
      <w:r w:rsidRPr="00353735">
        <w:rPr>
          <w:rFonts w:asciiTheme="minorHAnsi" w:hAnsiTheme="minorHAnsi" w:cstheme="minorHAnsi"/>
          <w:bCs/>
          <w:color w:val="000000" w:themeColor="text1"/>
          <w:sz w:val="22"/>
          <w:szCs w:val="22"/>
        </w:rPr>
        <w:t xml:space="preserve">Art. 2. </w:t>
      </w:r>
      <w:r w:rsidRPr="00353735">
        <w:rPr>
          <w:rFonts w:asciiTheme="minorHAnsi" w:hAnsiTheme="minorHAnsi" w:cstheme="minorHAnsi"/>
          <w:bCs/>
          <w:i/>
          <w:color w:val="000000" w:themeColor="text1"/>
          <w:sz w:val="22"/>
          <w:szCs w:val="22"/>
        </w:rPr>
        <w:t>Monitoraggio</w:t>
      </w:r>
      <w:r w:rsidRPr="00353735">
        <w:rPr>
          <w:rFonts w:asciiTheme="minorHAnsi" w:hAnsiTheme="minorHAnsi" w:cstheme="minorHAnsi"/>
          <w:bCs/>
          <w:color w:val="000000" w:themeColor="text1"/>
          <w:sz w:val="22"/>
          <w:szCs w:val="22"/>
        </w:rPr>
        <w:t xml:space="preserve"> comma 3 “</w:t>
      </w:r>
      <w:r w:rsidRPr="00353735">
        <w:rPr>
          <w:rFonts w:asciiTheme="minorHAnsi" w:hAnsiTheme="minorHAnsi" w:cstheme="minorHAnsi"/>
          <w:bCs/>
          <w:i/>
          <w:color w:val="000000" w:themeColor="text1"/>
          <w:sz w:val="22"/>
          <w:szCs w:val="22"/>
        </w:rPr>
        <w:t>Ai fini del monitoraggio degli standard dell’assistenza territoriale, relativamente ai livelli essenziali di as</w:t>
      </w:r>
      <w:r>
        <w:rPr>
          <w:rFonts w:asciiTheme="minorHAnsi" w:hAnsiTheme="minorHAnsi" w:cstheme="minorHAnsi"/>
          <w:bCs/>
          <w:i/>
          <w:color w:val="000000" w:themeColor="text1"/>
          <w:sz w:val="22"/>
          <w:szCs w:val="22"/>
        </w:rPr>
        <w:t>si</w:t>
      </w:r>
      <w:r w:rsidRPr="00353735">
        <w:rPr>
          <w:rFonts w:asciiTheme="minorHAnsi" w:hAnsiTheme="minorHAnsi" w:cstheme="minorHAnsi"/>
          <w:bCs/>
          <w:i/>
          <w:color w:val="000000" w:themeColor="text1"/>
          <w:sz w:val="22"/>
          <w:szCs w:val="22"/>
        </w:rPr>
        <w:t xml:space="preserve">stenza, si rinvia all’Allegato I del decreto del Ministro della salute e del Ministro dell’economia e delle finanze concernente il «Nuovo </w:t>
      </w:r>
      <w:r>
        <w:rPr>
          <w:rFonts w:asciiTheme="minorHAnsi" w:hAnsiTheme="minorHAnsi" w:cstheme="minorHAnsi"/>
          <w:bCs/>
          <w:i/>
          <w:color w:val="000000" w:themeColor="text1"/>
          <w:sz w:val="22"/>
          <w:szCs w:val="22"/>
        </w:rPr>
        <w:t>sistema di garanzia per il moni</w:t>
      </w:r>
      <w:r w:rsidRPr="00353735">
        <w:rPr>
          <w:rFonts w:asciiTheme="minorHAnsi" w:hAnsiTheme="minorHAnsi" w:cstheme="minorHAnsi"/>
          <w:bCs/>
          <w:i/>
          <w:color w:val="000000" w:themeColor="text1"/>
          <w:sz w:val="22"/>
          <w:szCs w:val="22"/>
        </w:rPr>
        <w:t>toraggio dell’assistenza sanitaria» del 12 marzo 2019, ai sensi dell’articolo 5 del medesimo decreto</w:t>
      </w:r>
      <w:r>
        <w:rPr>
          <w:rFonts w:asciiTheme="minorHAnsi" w:hAnsiTheme="minorHAnsi" w:cstheme="minorHAnsi"/>
          <w:bCs/>
          <w:color w:val="000000" w:themeColor="text1"/>
          <w:sz w:val="22"/>
          <w:szCs w:val="22"/>
        </w:rPr>
        <w:t>”</w:t>
      </w:r>
      <w:r w:rsidR="00024308">
        <w:rPr>
          <w:rFonts w:asciiTheme="minorHAnsi" w:hAnsiTheme="minorHAnsi" w:cstheme="minorHAnsi"/>
          <w:bCs/>
          <w:color w:val="000000" w:themeColor="text1"/>
          <w:sz w:val="22"/>
          <w:szCs w:val="22"/>
        </w:rPr>
        <w:t>.</w:t>
      </w:r>
    </w:p>
    <w:p w14:paraId="01225C2B" w14:textId="6E7E4129" w:rsidR="001E3C08" w:rsidRDefault="001E3C08" w:rsidP="001E3C08">
      <w:pPr>
        <w:spacing w:line="240" w:lineRule="auto"/>
        <w:jc w:val="both"/>
        <w:rPr>
          <w:rFonts w:asciiTheme="minorHAnsi" w:eastAsia="Times New Roman" w:hAnsiTheme="minorHAnsi" w:cstheme="minorHAnsi"/>
          <w:bCs/>
          <w:color w:val="000000" w:themeColor="text1"/>
          <w:kern w:val="0"/>
          <w:lang w:eastAsia="it-IT"/>
        </w:rPr>
      </w:pPr>
      <w:r>
        <w:rPr>
          <w:rFonts w:asciiTheme="minorHAnsi" w:eastAsia="Times New Roman" w:hAnsiTheme="minorHAnsi" w:cstheme="minorHAnsi"/>
          <w:bCs/>
          <w:color w:val="000000" w:themeColor="text1"/>
          <w:kern w:val="0"/>
          <w:lang w:eastAsia="it-IT"/>
        </w:rPr>
        <w:t>In sede di Comitato Regionale della Medicina Generale nel corso del 2025 sono</w:t>
      </w:r>
      <w:r w:rsidR="00026EB1">
        <w:rPr>
          <w:rFonts w:asciiTheme="minorHAnsi" w:eastAsia="Times New Roman" w:hAnsiTheme="minorHAnsi" w:cstheme="minorHAnsi"/>
          <w:bCs/>
          <w:color w:val="000000" w:themeColor="text1"/>
          <w:kern w:val="0"/>
          <w:lang w:eastAsia="it-IT"/>
        </w:rPr>
        <w:t xml:space="preserve"> stati individuati</w:t>
      </w:r>
      <w:r>
        <w:rPr>
          <w:rFonts w:asciiTheme="minorHAnsi" w:eastAsia="Times New Roman" w:hAnsiTheme="minorHAnsi" w:cstheme="minorHAnsi"/>
          <w:bCs/>
          <w:color w:val="000000" w:themeColor="text1"/>
          <w:kern w:val="0"/>
          <w:lang w:eastAsia="it-IT"/>
        </w:rPr>
        <w:t xml:space="preserve"> </w:t>
      </w:r>
      <w:r w:rsidR="00026EB1">
        <w:rPr>
          <w:rFonts w:asciiTheme="minorHAnsi" w:eastAsia="Times New Roman" w:hAnsiTheme="minorHAnsi" w:cstheme="minorHAnsi"/>
          <w:bCs/>
          <w:color w:val="000000" w:themeColor="text1"/>
          <w:kern w:val="0"/>
          <w:lang w:eastAsia="it-IT"/>
        </w:rPr>
        <w:t>specifici ambiti</w:t>
      </w:r>
      <w:r>
        <w:rPr>
          <w:rFonts w:asciiTheme="minorHAnsi" w:eastAsia="Times New Roman" w:hAnsiTheme="minorHAnsi" w:cstheme="minorHAnsi"/>
          <w:bCs/>
          <w:color w:val="000000" w:themeColor="text1"/>
          <w:kern w:val="0"/>
          <w:lang w:eastAsia="it-IT"/>
        </w:rPr>
        <w:t xml:space="preserve"> di intervento del Medico di Assistenza Primaria (MAP) </w:t>
      </w:r>
      <w:r w:rsidR="007E438C">
        <w:rPr>
          <w:rFonts w:asciiTheme="minorHAnsi" w:eastAsia="Times New Roman" w:hAnsiTheme="minorHAnsi" w:cstheme="minorHAnsi"/>
          <w:bCs/>
          <w:color w:val="000000" w:themeColor="text1"/>
          <w:kern w:val="0"/>
          <w:lang w:eastAsia="it-IT"/>
        </w:rPr>
        <w:t>al fine di enucleare e valorizzare il possibile impegno anche su base oraria</w:t>
      </w:r>
      <w:r w:rsidR="00026EB1">
        <w:rPr>
          <w:rFonts w:asciiTheme="minorHAnsi" w:eastAsia="Times New Roman" w:hAnsiTheme="minorHAnsi" w:cstheme="minorHAnsi"/>
          <w:bCs/>
          <w:color w:val="000000" w:themeColor="text1"/>
          <w:kern w:val="0"/>
          <w:lang w:eastAsia="it-IT"/>
        </w:rPr>
        <w:t xml:space="preserve"> del Medico</w:t>
      </w:r>
      <w:r w:rsidR="0069625F">
        <w:rPr>
          <w:rFonts w:asciiTheme="minorHAnsi" w:eastAsia="Times New Roman" w:hAnsiTheme="minorHAnsi" w:cstheme="minorHAnsi"/>
          <w:bCs/>
          <w:color w:val="000000" w:themeColor="text1"/>
          <w:kern w:val="0"/>
          <w:lang w:eastAsia="it-IT"/>
        </w:rPr>
        <w:t xml:space="preserve"> (</w:t>
      </w:r>
      <w:r w:rsidR="0069625F">
        <w:rPr>
          <w:rFonts w:eastAsia="Times New Roman" w:cs="Calibri"/>
          <w:lang w:eastAsia="it-IT"/>
        </w:rPr>
        <w:t xml:space="preserve">Il </w:t>
      </w:r>
      <w:r w:rsidR="0069625F" w:rsidRPr="0069625F">
        <w:rPr>
          <w:rFonts w:eastAsia="Times New Roman" w:cs="Calibri"/>
          <w:b/>
          <w:lang w:eastAsia="it-IT"/>
        </w:rPr>
        <w:t>M</w:t>
      </w:r>
      <w:r w:rsidR="0069625F" w:rsidRPr="00530C57">
        <w:rPr>
          <w:rFonts w:eastAsia="Times New Roman" w:cs="Calibri"/>
          <w:b/>
          <w:bCs/>
          <w:lang w:eastAsia="it-IT"/>
        </w:rPr>
        <w:t>edico del ruolo unico di assistenza primaria su base oraria</w:t>
      </w:r>
      <w:r w:rsidR="0069625F" w:rsidRPr="00530C57">
        <w:rPr>
          <w:rFonts w:eastAsia="Times New Roman" w:cs="Calibri"/>
          <w:lang w:eastAsia="it-IT"/>
        </w:rPr>
        <w:t xml:space="preserve"> è chiamato a svolgere un insieme di attività fondamentali per garantire un'assistenza sanitaria territoriale efficace e continua. Il medico del ruolo unico di assistenza primaria su base oraria svolge un ruolo chiave nell’assistenza territoriale, garantendo la continuità e la qualità delle cure ai cittadini Le sue mansioni, integrate con le linee guida del </w:t>
      </w:r>
      <w:r w:rsidR="0069625F" w:rsidRPr="00530C57">
        <w:rPr>
          <w:rFonts w:eastAsia="Times New Roman" w:cs="Calibri"/>
          <w:b/>
          <w:bCs/>
          <w:lang w:eastAsia="it-IT"/>
        </w:rPr>
        <w:t>Decreto 23 maggio 2022, n. 77</w:t>
      </w:r>
      <w:r w:rsidR="0069625F" w:rsidRPr="0069625F">
        <w:rPr>
          <w:rFonts w:eastAsia="Times New Roman" w:cs="Calibri"/>
          <w:bCs/>
          <w:lang w:eastAsia="it-IT"/>
        </w:rPr>
        <w:t>)</w:t>
      </w:r>
      <w:r w:rsidR="0069625F">
        <w:rPr>
          <w:rFonts w:eastAsia="Times New Roman" w:cs="Calibri"/>
          <w:bCs/>
          <w:lang w:eastAsia="it-IT"/>
        </w:rPr>
        <w:t>.</w:t>
      </w:r>
    </w:p>
    <w:p w14:paraId="00347C8A" w14:textId="77777777" w:rsidR="0069625F" w:rsidRPr="0069625F" w:rsidRDefault="0069625F" w:rsidP="0069625F">
      <w:pPr>
        <w:spacing w:before="100" w:beforeAutospacing="1" w:after="100" w:afterAutospacing="1" w:line="240" w:lineRule="auto"/>
        <w:jc w:val="both"/>
        <w:rPr>
          <w:rFonts w:eastAsia="Times New Roman" w:cs="Calibri"/>
          <w:lang w:eastAsia="it-IT"/>
        </w:rPr>
      </w:pPr>
      <w:r>
        <w:rPr>
          <w:rFonts w:asciiTheme="minorHAnsi" w:eastAsia="Times New Roman" w:hAnsiTheme="minorHAnsi" w:cstheme="minorHAnsi"/>
          <w:bCs/>
          <w:color w:val="000000" w:themeColor="text1"/>
          <w:kern w:val="0"/>
          <w:lang w:eastAsia="it-IT"/>
        </w:rPr>
        <w:t>Gli Ambiti di intervento della Medicina Generale sono così individuati:</w:t>
      </w:r>
      <w:r w:rsidRPr="0069625F">
        <w:rPr>
          <w:rFonts w:eastAsia="Times New Roman" w:cs="Calibri"/>
          <w:b/>
          <w:bCs/>
          <w:lang w:eastAsia="it-IT"/>
        </w:rPr>
        <w:t xml:space="preserve"> </w:t>
      </w:r>
    </w:p>
    <w:p w14:paraId="764D35FE" w14:textId="789A7553" w:rsidR="0069625F" w:rsidRPr="00530C57" w:rsidRDefault="0069625F" w:rsidP="0067743C">
      <w:pPr>
        <w:numPr>
          <w:ilvl w:val="0"/>
          <w:numId w:val="6"/>
        </w:numPr>
        <w:spacing w:before="100" w:beforeAutospacing="1" w:after="100" w:afterAutospacing="1" w:line="240" w:lineRule="auto"/>
        <w:jc w:val="both"/>
        <w:rPr>
          <w:rFonts w:eastAsia="Times New Roman" w:cs="Calibri"/>
          <w:lang w:eastAsia="it-IT"/>
        </w:rPr>
      </w:pPr>
      <w:r w:rsidRPr="00530C57">
        <w:rPr>
          <w:rFonts w:eastAsia="Times New Roman" w:cs="Calibri"/>
          <w:b/>
          <w:bCs/>
          <w:lang w:eastAsia="it-IT"/>
        </w:rPr>
        <w:t>Prevenzione e promozione della salute</w:t>
      </w:r>
    </w:p>
    <w:p w14:paraId="78D55339" w14:textId="4D00F77D" w:rsidR="0069625F" w:rsidRDefault="0069625F" w:rsidP="0067743C">
      <w:pPr>
        <w:numPr>
          <w:ilvl w:val="1"/>
          <w:numId w:val="6"/>
        </w:numPr>
        <w:spacing w:before="100" w:beforeAutospacing="1" w:after="100" w:afterAutospacing="1" w:line="240" w:lineRule="auto"/>
        <w:jc w:val="both"/>
        <w:rPr>
          <w:rFonts w:eastAsia="Times New Roman" w:cs="Calibri"/>
          <w:lang w:eastAsia="it-IT"/>
        </w:rPr>
      </w:pPr>
      <w:r w:rsidRPr="00530C57">
        <w:rPr>
          <w:rFonts w:eastAsia="Times New Roman" w:cs="Calibri"/>
          <w:lang w:eastAsia="it-IT"/>
        </w:rPr>
        <w:t xml:space="preserve">Attuazione di programmi di prevenzione secondo le direttive nazionali e </w:t>
      </w:r>
      <w:r>
        <w:rPr>
          <w:rFonts w:eastAsia="Times New Roman" w:cs="Calibri"/>
          <w:lang w:eastAsia="it-IT"/>
        </w:rPr>
        <w:t>regionali</w:t>
      </w:r>
    </w:p>
    <w:p w14:paraId="50A5C69F" w14:textId="47AE7A0B" w:rsidR="0069625F" w:rsidRPr="0069625F" w:rsidRDefault="0069625F" w:rsidP="0067743C">
      <w:pPr>
        <w:numPr>
          <w:ilvl w:val="1"/>
          <w:numId w:val="6"/>
        </w:numPr>
        <w:spacing w:before="100" w:beforeAutospacing="1" w:after="100" w:afterAutospacing="1" w:line="240" w:lineRule="auto"/>
        <w:jc w:val="both"/>
        <w:rPr>
          <w:rFonts w:eastAsia="Times New Roman" w:cs="Calibri"/>
          <w:lang w:eastAsia="it-IT"/>
        </w:rPr>
      </w:pPr>
      <w:r w:rsidRPr="0069625F">
        <w:rPr>
          <w:rFonts w:eastAsia="Times New Roman" w:cs="Calibri"/>
          <w:lang w:eastAsia="it-IT"/>
        </w:rPr>
        <w:t xml:space="preserve">Educazione sanitaria e promozione di stili di vita sani a livello individuale tra la popolazione assistita </w:t>
      </w:r>
    </w:p>
    <w:p w14:paraId="3290DC19" w14:textId="77777777" w:rsidR="0069625F" w:rsidRPr="0069625F" w:rsidRDefault="0069625F" w:rsidP="0067743C">
      <w:pPr>
        <w:pStyle w:val="Paragrafoelenco"/>
        <w:numPr>
          <w:ilvl w:val="0"/>
          <w:numId w:val="6"/>
        </w:numPr>
        <w:suppressAutoHyphens w:val="0"/>
        <w:spacing w:before="100" w:beforeAutospacing="1" w:after="100" w:afterAutospacing="1" w:line="240" w:lineRule="auto"/>
        <w:jc w:val="both"/>
        <w:rPr>
          <w:rFonts w:ascii="Calibri" w:eastAsia="Times New Roman" w:hAnsi="Calibri" w:cs="Calibri"/>
          <w:lang w:eastAsia="it-IT"/>
        </w:rPr>
      </w:pPr>
      <w:r w:rsidRPr="00530C57">
        <w:rPr>
          <w:rFonts w:ascii="Calibri" w:eastAsia="Times New Roman" w:hAnsi="Calibri" w:cs="Calibri"/>
          <w:b/>
          <w:bCs/>
          <w:lang w:eastAsia="it-IT"/>
        </w:rPr>
        <w:t>Gestione delle patologie croniche</w:t>
      </w:r>
    </w:p>
    <w:p w14:paraId="38BF1B4B" w14:textId="4948FA14" w:rsidR="0069625F" w:rsidRPr="0069625F" w:rsidRDefault="0069625F" w:rsidP="0067743C">
      <w:pPr>
        <w:pStyle w:val="Paragrafoelenco"/>
        <w:numPr>
          <w:ilvl w:val="1"/>
          <w:numId w:val="6"/>
        </w:numPr>
        <w:suppressAutoHyphens w:val="0"/>
        <w:spacing w:before="100" w:beforeAutospacing="1" w:after="100" w:afterAutospacing="1" w:line="240" w:lineRule="auto"/>
        <w:jc w:val="both"/>
        <w:rPr>
          <w:rFonts w:ascii="Calibri" w:eastAsia="Times New Roman" w:hAnsi="Calibri" w:cs="Calibri"/>
          <w:lang w:eastAsia="it-IT"/>
        </w:rPr>
      </w:pPr>
      <w:r w:rsidRPr="0069625F">
        <w:rPr>
          <w:rFonts w:ascii="Calibri" w:eastAsia="Times New Roman" w:hAnsi="Calibri" w:cs="Calibri"/>
          <w:lang w:eastAsia="it-IT"/>
        </w:rPr>
        <w:t xml:space="preserve">Diagnosi e trattamento di patologie croniche, applicando le migliori pratiche cliniche </w:t>
      </w:r>
    </w:p>
    <w:p w14:paraId="37B670AE" w14:textId="74EDBB35" w:rsidR="0069625F" w:rsidRPr="0069625F" w:rsidRDefault="0069625F" w:rsidP="0067743C">
      <w:pPr>
        <w:pStyle w:val="Paragrafoelenco"/>
        <w:numPr>
          <w:ilvl w:val="1"/>
          <w:numId w:val="6"/>
        </w:numPr>
        <w:suppressAutoHyphens w:val="0"/>
        <w:spacing w:before="100" w:beforeAutospacing="1" w:after="100" w:afterAutospacing="1" w:line="240" w:lineRule="auto"/>
        <w:jc w:val="both"/>
        <w:rPr>
          <w:rFonts w:ascii="Calibri" w:eastAsia="Times New Roman" w:hAnsi="Calibri" w:cs="Calibri"/>
          <w:lang w:eastAsia="it-IT"/>
        </w:rPr>
      </w:pPr>
      <w:r w:rsidRPr="0069625F">
        <w:rPr>
          <w:rFonts w:ascii="Calibri" w:eastAsia="Times New Roman" w:hAnsi="Calibri" w:cs="Calibri"/>
          <w:lang w:eastAsia="it-IT"/>
        </w:rPr>
        <w:t>Assistenza proattiva a pazienti con patologie croniche e fragilità, in linea con le indicazioni dell'</w:t>
      </w:r>
      <w:r w:rsidRPr="0069625F">
        <w:rPr>
          <w:rFonts w:ascii="Calibri" w:eastAsia="Times New Roman" w:hAnsi="Calibri" w:cs="Calibri"/>
          <w:b/>
          <w:bCs/>
          <w:lang w:eastAsia="it-IT"/>
        </w:rPr>
        <w:t xml:space="preserve">ACN, Linee programmatiche 2025 e Piano Nazionale Cronicità </w:t>
      </w:r>
    </w:p>
    <w:p w14:paraId="41795508" w14:textId="6DBEB4C2" w:rsidR="0069625F" w:rsidRPr="0069625F" w:rsidRDefault="0069625F" w:rsidP="0067743C">
      <w:pPr>
        <w:pStyle w:val="Paragrafoelenco"/>
        <w:numPr>
          <w:ilvl w:val="0"/>
          <w:numId w:val="6"/>
        </w:numPr>
        <w:spacing w:before="100" w:beforeAutospacing="1" w:after="100" w:afterAutospacing="1" w:line="240" w:lineRule="auto"/>
        <w:jc w:val="both"/>
        <w:rPr>
          <w:rFonts w:ascii="Calibri" w:eastAsia="Times New Roman" w:hAnsi="Calibri" w:cs="Calibri"/>
          <w:lang w:eastAsia="it-IT"/>
        </w:rPr>
      </w:pPr>
      <w:r w:rsidRPr="0069625F">
        <w:rPr>
          <w:rFonts w:eastAsia="Times New Roman" w:cs="Calibri"/>
          <w:b/>
          <w:bCs/>
          <w:lang w:eastAsia="it-IT"/>
        </w:rPr>
        <w:t>Assistenza ambulatoriale e domiciliare</w:t>
      </w:r>
    </w:p>
    <w:p w14:paraId="3210382A" w14:textId="63CF3EE8" w:rsidR="0069625F" w:rsidRDefault="0069625F" w:rsidP="0067743C">
      <w:pPr>
        <w:numPr>
          <w:ilvl w:val="1"/>
          <w:numId w:val="6"/>
        </w:numPr>
        <w:spacing w:before="100" w:beforeAutospacing="1" w:after="100" w:afterAutospacing="1" w:line="240" w:lineRule="auto"/>
        <w:jc w:val="both"/>
        <w:rPr>
          <w:rFonts w:eastAsia="Times New Roman" w:cs="Calibri"/>
          <w:lang w:eastAsia="it-IT"/>
        </w:rPr>
      </w:pPr>
      <w:r w:rsidRPr="00530C57">
        <w:rPr>
          <w:rFonts w:eastAsia="Times New Roman" w:cs="Calibri"/>
          <w:lang w:eastAsia="it-IT"/>
        </w:rPr>
        <w:t>Erogazione di visite e prestazioni su base progettuale per specifiche patologie ad elevata prevalenza nella popolazione generale e ad ele</w:t>
      </w:r>
      <w:r>
        <w:rPr>
          <w:rFonts w:eastAsia="Times New Roman" w:cs="Calibri"/>
          <w:lang w:eastAsia="it-IT"/>
        </w:rPr>
        <w:t xml:space="preserve">vato impatto territoriale </w:t>
      </w:r>
      <w:r w:rsidRPr="00530C57">
        <w:rPr>
          <w:rFonts w:eastAsia="Times New Roman" w:cs="Calibri"/>
          <w:lang w:eastAsia="it-IT"/>
        </w:rPr>
        <w:t>sia in ambulatorio che al domicilio, garantendo la presa i</w:t>
      </w:r>
      <w:r>
        <w:rPr>
          <w:rFonts w:eastAsia="Times New Roman" w:cs="Calibri"/>
          <w:lang w:eastAsia="it-IT"/>
        </w:rPr>
        <w:t>n carico globale dell'assistito</w:t>
      </w:r>
    </w:p>
    <w:p w14:paraId="24A209D4" w14:textId="4615BE71" w:rsidR="0069625F" w:rsidRDefault="0069625F" w:rsidP="0067743C">
      <w:pPr>
        <w:numPr>
          <w:ilvl w:val="1"/>
          <w:numId w:val="6"/>
        </w:numPr>
        <w:spacing w:before="100" w:beforeAutospacing="1" w:after="100" w:afterAutospacing="1" w:line="240" w:lineRule="auto"/>
        <w:jc w:val="both"/>
        <w:rPr>
          <w:rFonts w:eastAsia="Times New Roman" w:cs="Calibri"/>
          <w:lang w:eastAsia="it-IT"/>
        </w:rPr>
      </w:pPr>
      <w:r w:rsidRPr="0069625F">
        <w:rPr>
          <w:rFonts w:eastAsia="Times New Roman" w:cs="Calibri"/>
          <w:lang w:eastAsia="it-IT"/>
        </w:rPr>
        <w:t>Partecipazione a programmi di assistenza domiciliare integrata per pazienti non autosufficienti o terminali in coordi</w:t>
      </w:r>
      <w:r>
        <w:rPr>
          <w:rFonts w:eastAsia="Times New Roman" w:cs="Calibri"/>
          <w:lang w:eastAsia="it-IT"/>
        </w:rPr>
        <w:t>namento con le Cure Domiciliari</w:t>
      </w:r>
    </w:p>
    <w:p w14:paraId="4B37C1B4" w14:textId="77777777" w:rsidR="0069625F" w:rsidRPr="00530C57" w:rsidRDefault="0069625F" w:rsidP="0067743C">
      <w:pPr>
        <w:numPr>
          <w:ilvl w:val="0"/>
          <w:numId w:val="6"/>
        </w:numPr>
        <w:spacing w:before="100" w:beforeAutospacing="1" w:after="100" w:afterAutospacing="1" w:line="240" w:lineRule="auto"/>
        <w:jc w:val="both"/>
        <w:rPr>
          <w:rFonts w:eastAsia="Times New Roman" w:cs="Calibri"/>
          <w:lang w:eastAsia="it-IT"/>
        </w:rPr>
      </w:pPr>
      <w:r w:rsidRPr="00530C57">
        <w:rPr>
          <w:rFonts w:eastAsia="Times New Roman" w:cs="Calibri"/>
          <w:b/>
          <w:bCs/>
          <w:lang w:eastAsia="it-IT"/>
        </w:rPr>
        <w:t>Partecipazione a programmi di salute pubblica</w:t>
      </w:r>
    </w:p>
    <w:p w14:paraId="350F0044" w14:textId="25C8BBE7" w:rsidR="0069625F" w:rsidRPr="00530C57" w:rsidRDefault="0069625F" w:rsidP="0067743C">
      <w:pPr>
        <w:numPr>
          <w:ilvl w:val="1"/>
          <w:numId w:val="6"/>
        </w:numPr>
        <w:spacing w:before="100" w:beforeAutospacing="1" w:after="100" w:afterAutospacing="1" w:line="240" w:lineRule="auto"/>
        <w:jc w:val="both"/>
        <w:rPr>
          <w:rFonts w:eastAsia="Times New Roman" w:cs="Calibri"/>
          <w:lang w:eastAsia="it-IT"/>
        </w:rPr>
      </w:pPr>
      <w:r w:rsidRPr="00530C57">
        <w:rPr>
          <w:rFonts w:eastAsia="Times New Roman" w:cs="Calibri"/>
          <w:lang w:eastAsia="it-IT"/>
        </w:rPr>
        <w:t xml:space="preserve">Adesione a progetti finalizzati al rispetto dei livelli programmati di spesa sanitaria </w:t>
      </w:r>
    </w:p>
    <w:p w14:paraId="62C03B59" w14:textId="77777777" w:rsidR="0069625F" w:rsidRDefault="0069625F" w:rsidP="0067743C">
      <w:pPr>
        <w:numPr>
          <w:ilvl w:val="1"/>
          <w:numId w:val="6"/>
        </w:numPr>
        <w:spacing w:before="100" w:beforeAutospacing="1" w:after="100" w:afterAutospacing="1" w:line="240" w:lineRule="auto"/>
        <w:jc w:val="both"/>
        <w:rPr>
          <w:rFonts w:eastAsia="Times New Roman" w:cs="Calibri"/>
          <w:lang w:eastAsia="it-IT"/>
        </w:rPr>
      </w:pPr>
      <w:r w:rsidRPr="00530C57">
        <w:rPr>
          <w:rFonts w:eastAsia="Times New Roman" w:cs="Calibri"/>
          <w:lang w:eastAsia="it-IT"/>
        </w:rPr>
        <w:t>Partecipazione a progetti di sistema su bisogni territoriali che favoriscano l’integrazio</w:t>
      </w:r>
      <w:r>
        <w:rPr>
          <w:rFonts w:eastAsia="Times New Roman" w:cs="Calibri"/>
          <w:lang w:eastAsia="it-IT"/>
        </w:rPr>
        <w:t>ne tra i vari attori della rete</w:t>
      </w:r>
    </w:p>
    <w:p w14:paraId="023BAAD7" w14:textId="20DD4A96" w:rsidR="0069625F" w:rsidRDefault="0069625F" w:rsidP="0067743C">
      <w:pPr>
        <w:numPr>
          <w:ilvl w:val="1"/>
          <w:numId w:val="6"/>
        </w:numPr>
        <w:spacing w:before="100" w:beforeAutospacing="1" w:after="100" w:afterAutospacing="1" w:line="240" w:lineRule="auto"/>
        <w:jc w:val="both"/>
        <w:rPr>
          <w:rFonts w:eastAsia="Times New Roman" w:cs="Calibri"/>
          <w:lang w:eastAsia="it-IT"/>
        </w:rPr>
      </w:pPr>
      <w:r w:rsidRPr="0069625F">
        <w:rPr>
          <w:rFonts w:eastAsia="Times New Roman" w:cs="Calibri"/>
          <w:lang w:eastAsia="it-IT"/>
        </w:rPr>
        <w:t xml:space="preserve">Sensibilizzazione dei cittadini su tematiche specifiche, promuovendo l'adozione di corretti stili di vita e l'uso appropriato delle risorse del </w:t>
      </w:r>
      <w:r w:rsidRPr="0069625F">
        <w:rPr>
          <w:rFonts w:eastAsia="Times New Roman" w:cs="Calibri"/>
          <w:b/>
          <w:bCs/>
          <w:lang w:eastAsia="it-IT"/>
        </w:rPr>
        <w:t xml:space="preserve">Servizio Sanitario Nazionale (SSN) </w:t>
      </w:r>
    </w:p>
    <w:p w14:paraId="22F575A8" w14:textId="77777777" w:rsidR="0069625F" w:rsidRPr="00530C57" w:rsidRDefault="0069625F" w:rsidP="0067743C">
      <w:pPr>
        <w:numPr>
          <w:ilvl w:val="0"/>
          <w:numId w:val="6"/>
        </w:numPr>
        <w:spacing w:before="100" w:beforeAutospacing="1" w:after="100" w:afterAutospacing="1" w:line="240" w:lineRule="auto"/>
        <w:jc w:val="both"/>
        <w:rPr>
          <w:rFonts w:eastAsia="Times New Roman" w:cs="Calibri"/>
          <w:lang w:eastAsia="it-IT"/>
        </w:rPr>
      </w:pPr>
      <w:r w:rsidRPr="00530C57">
        <w:rPr>
          <w:rFonts w:eastAsia="Times New Roman" w:cs="Calibri"/>
          <w:b/>
          <w:bCs/>
          <w:lang w:eastAsia="it-IT"/>
        </w:rPr>
        <w:t xml:space="preserve">Collaborazione </w:t>
      </w:r>
      <w:proofErr w:type="spellStart"/>
      <w:r w:rsidRPr="00530C57">
        <w:rPr>
          <w:rFonts w:eastAsia="Times New Roman" w:cs="Calibri"/>
          <w:b/>
          <w:bCs/>
          <w:lang w:eastAsia="it-IT"/>
        </w:rPr>
        <w:t>multiprofessionale</w:t>
      </w:r>
      <w:proofErr w:type="spellEnd"/>
    </w:p>
    <w:p w14:paraId="15035F31" w14:textId="56FC9073" w:rsidR="0069625F" w:rsidRDefault="0069625F" w:rsidP="0067743C">
      <w:pPr>
        <w:numPr>
          <w:ilvl w:val="1"/>
          <w:numId w:val="6"/>
        </w:numPr>
        <w:spacing w:before="100" w:beforeAutospacing="1" w:after="100" w:afterAutospacing="1" w:line="240" w:lineRule="auto"/>
        <w:jc w:val="both"/>
        <w:rPr>
          <w:rFonts w:eastAsia="Times New Roman" w:cs="Calibri"/>
          <w:lang w:eastAsia="it-IT"/>
        </w:rPr>
      </w:pPr>
      <w:r w:rsidRPr="00530C57">
        <w:rPr>
          <w:rFonts w:eastAsia="Times New Roman" w:cs="Calibri"/>
          <w:lang w:eastAsia="it-IT"/>
        </w:rPr>
        <w:t xml:space="preserve">Lavoro in team con altri professionisti sanitari all'interno delle AFT e UCCP, favorendo un approccio integrato all'assistenza </w:t>
      </w:r>
    </w:p>
    <w:p w14:paraId="4A4061D1" w14:textId="448E4378" w:rsidR="0069625F" w:rsidRDefault="0069625F" w:rsidP="0067743C">
      <w:pPr>
        <w:numPr>
          <w:ilvl w:val="1"/>
          <w:numId w:val="6"/>
        </w:numPr>
        <w:spacing w:before="100" w:beforeAutospacing="1" w:after="100" w:afterAutospacing="1" w:line="240" w:lineRule="auto"/>
        <w:jc w:val="both"/>
        <w:rPr>
          <w:rFonts w:eastAsia="Times New Roman" w:cs="Calibri"/>
          <w:lang w:eastAsia="it-IT"/>
        </w:rPr>
      </w:pPr>
      <w:r w:rsidRPr="0069625F">
        <w:rPr>
          <w:rFonts w:eastAsia="Times New Roman" w:cs="Calibri"/>
          <w:lang w:eastAsia="it-IT"/>
        </w:rPr>
        <w:t>Partecipazione a riunioni e attività di coordinamento per ottimizzare l'erogazione dei servizi sanitari territoriali (attuazione dei percorsi di integrazione previsti nei Piani di Sviluppo Polo Terri</w:t>
      </w:r>
      <w:r>
        <w:rPr>
          <w:rFonts w:eastAsia="Times New Roman" w:cs="Calibri"/>
          <w:lang w:eastAsia="it-IT"/>
        </w:rPr>
        <w:t>toriale ex D.G.R. n. 2089/2024)</w:t>
      </w:r>
    </w:p>
    <w:p w14:paraId="20BF31FB" w14:textId="77777777" w:rsidR="0069625F" w:rsidRPr="00530C57" w:rsidRDefault="0069625F" w:rsidP="0067743C">
      <w:pPr>
        <w:numPr>
          <w:ilvl w:val="0"/>
          <w:numId w:val="6"/>
        </w:numPr>
        <w:spacing w:before="100" w:beforeAutospacing="1" w:after="100" w:afterAutospacing="1" w:line="240" w:lineRule="auto"/>
        <w:jc w:val="both"/>
        <w:rPr>
          <w:rFonts w:eastAsia="Times New Roman" w:cs="Calibri"/>
          <w:lang w:eastAsia="it-IT"/>
        </w:rPr>
      </w:pPr>
      <w:r w:rsidRPr="00530C57">
        <w:rPr>
          <w:rFonts w:eastAsia="Times New Roman" w:cs="Calibri"/>
          <w:b/>
          <w:bCs/>
          <w:lang w:eastAsia="it-IT"/>
        </w:rPr>
        <w:t>Formazione continua</w:t>
      </w:r>
    </w:p>
    <w:p w14:paraId="61ED266D" w14:textId="5F267F9F" w:rsidR="0069625F" w:rsidRPr="00530C57" w:rsidRDefault="0069625F" w:rsidP="0067743C">
      <w:pPr>
        <w:numPr>
          <w:ilvl w:val="1"/>
          <w:numId w:val="6"/>
        </w:numPr>
        <w:spacing w:before="100" w:beforeAutospacing="1" w:after="100" w:afterAutospacing="1" w:line="240" w:lineRule="auto"/>
        <w:jc w:val="both"/>
        <w:rPr>
          <w:rFonts w:eastAsia="Times New Roman" w:cs="Calibri"/>
          <w:lang w:eastAsia="it-IT"/>
        </w:rPr>
      </w:pPr>
      <w:r w:rsidRPr="00530C57">
        <w:rPr>
          <w:rFonts w:eastAsia="Times New Roman" w:cs="Calibri"/>
          <w:lang w:eastAsia="it-IT"/>
        </w:rPr>
        <w:lastRenderedPageBreak/>
        <w:t>Partecipazione a programmi di formazione e aggiornamento professionale per garantire un elevato standard di competenza clinica e una risposta qualificata e appropr</w:t>
      </w:r>
      <w:r>
        <w:rPr>
          <w:rFonts w:eastAsia="Times New Roman" w:cs="Calibri"/>
          <w:lang w:eastAsia="it-IT"/>
        </w:rPr>
        <w:t>iata ai bisogni degli assistiti</w:t>
      </w:r>
    </w:p>
    <w:p w14:paraId="61E7FEEF" w14:textId="12B87385" w:rsidR="0069625F" w:rsidRDefault="0069625F" w:rsidP="0067743C">
      <w:pPr>
        <w:numPr>
          <w:ilvl w:val="1"/>
          <w:numId w:val="6"/>
        </w:numPr>
        <w:spacing w:before="100" w:beforeAutospacing="1" w:after="100" w:afterAutospacing="1"/>
        <w:jc w:val="both"/>
        <w:rPr>
          <w:rFonts w:eastAsia="Times New Roman" w:cs="Calibri"/>
          <w:lang w:eastAsia="it-IT"/>
        </w:rPr>
      </w:pPr>
      <w:r w:rsidRPr="00530C57">
        <w:rPr>
          <w:rFonts w:eastAsia="Times New Roman" w:cs="Calibri"/>
          <w:lang w:eastAsia="it-IT"/>
        </w:rPr>
        <w:t xml:space="preserve">Contributo alla formazione di nuovi professionisti sanitari attraverso attività di tutoraggio e supervisione </w:t>
      </w:r>
    </w:p>
    <w:p w14:paraId="1E42B7FC" w14:textId="2B842635" w:rsidR="0069625F" w:rsidRPr="00A650D0" w:rsidRDefault="0069625F" w:rsidP="0067743C">
      <w:pPr>
        <w:pStyle w:val="Paragrafoelenco"/>
        <w:numPr>
          <w:ilvl w:val="0"/>
          <w:numId w:val="6"/>
        </w:numPr>
        <w:suppressAutoHyphens w:val="0"/>
        <w:spacing w:before="100" w:beforeAutospacing="1" w:after="100" w:afterAutospacing="1" w:line="240" w:lineRule="auto"/>
        <w:jc w:val="both"/>
        <w:rPr>
          <w:rFonts w:ascii="Calibri" w:eastAsia="Times New Roman" w:hAnsi="Calibri" w:cs="Calibri"/>
          <w:b/>
          <w:bCs/>
          <w:lang w:eastAsia="it-IT"/>
        </w:rPr>
      </w:pPr>
      <w:r w:rsidRPr="00A650D0">
        <w:rPr>
          <w:rFonts w:ascii="Calibri" w:eastAsia="Times New Roman" w:hAnsi="Calibri" w:cs="Calibri"/>
          <w:b/>
          <w:bCs/>
          <w:lang w:eastAsia="it-IT"/>
        </w:rPr>
        <w:t>Richieste di cura</w:t>
      </w:r>
      <w:r w:rsidRPr="00530C57">
        <w:rPr>
          <w:rFonts w:ascii="Calibri" w:eastAsia="Times New Roman" w:hAnsi="Calibri" w:cs="Calibri"/>
          <w:b/>
          <w:bCs/>
          <w:lang w:eastAsia="it-IT"/>
        </w:rPr>
        <w:t xml:space="preserve"> NON urgenti</w:t>
      </w:r>
    </w:p>
    <w:p w14:paraId="009906C9" w14:textId="77777777" w:rsidR="0069625F" w:rsidRPr="001E63F0" w:rsidRDefault="0069625F" w:rsidP="0067743C">
      <w:pPr>
        <w:pStyle w:val="Paragrafoelenco"/>
        <w:numPr>
          <w:ilvl w:val="0"/>
          <w:numId w:val="7"/>
        </w:numPr>
        <w:suppressAutoHyphens w:val="0"/>
        <w:spacing w:before="100" w:beforeAutospacing="1" w:after="100" w:afterAutospacing="1" w:line="240" w:lineRule="auto"/>
        <w:jc w:val="both"/>
        <w:rPr>
          <w:rFonts w:ascii="Calibri" w:eastAsia="Times New Roman" w:hAnsi="Calibri" w:cs="Calibri"/>
          <w:lang w:eastAsia="it-IT"/>
        </w:rPr>
      </w:pPr>
      <w:r w:rsidRPr="001E63F0">
        <w:rPr>
          <w:rFonts w:ascii="Calibri" w:eastAsia="Times New Roman" w:hAnsi="Calibri" w:cs="Calibri"/>
          <w:lang w:eastAsia="it-IT"/>
        </w:rPr>
        <w:t xml:space="preserve">Assicurare </w:t>
      </w:r>
      <w:r w:rsidRPr="001E63F0">
        <w:rPr>
          <w:rFonts w:cstheme="minorHAnsi"/>
          <w:u w:val="single"/>
        </w:rPr>
        <w:t>AMBULATORI DI CONTINUITA’ ASSISTENZIALE</w:t>
      </w:r>
      <w:r>
        <w:rPr>
          <w:rFonts w:cstheme="minorHAnsi"/>
          <w:u w:val="single"/>
        </w:rPr>
        <w:t xml:space="preserve">. </w:t>
      </w:r>
      <w:r w:rsidRPr="001E63F0">
        <w:rPr>
          <w:rFonts w:cstheme="minorHAnsi"/>
          <w:u w:val="single"/>
        </w:rPr>
        <w:t xml:space="preserve">In ogni Casa di Comunità deve essere previsto e attivo almeno un ambulatorio di Continuità Assistenziale con estensione di apertura anche alla fascia oraria diurna 7/7. Gli ambulatori di Continuità Assistenziale assolvono anche alle funzioni degli Ambulatori Medici Temporanei (AMT), che si “estinguono” per essere ricompresi nell’unica fattispecie ambulatoriale con caratteristica di permanenza nelle </w:t>
      </w:r>
      <w:proofErr w:type="spellStart"/>
      <w:r w:rsidRPr="001E63F0">
        <w:rPr>
          <w:rFonts w:cstheme="minorHAnsi"/>
          <w:u w:val="single"/>
        </w:rPr>
        <w:t>CdC</w:t>
      </w:r>
      <w:proofErr w:type="spellEnd"/>
      <w:r w:rsidRPr="001E63F0">
        <w:rPr>
          <w:rFonts w:cstheme="minorHAnsi"/>
          <w:u w:val="single"/>
        </w:rPr>
        <w:t xml:space="preserve"> ovvero quella della Continuità Assistenziale</w:t>
      </w:r>
      <w:r w:rsidRPr="001E63F0">
        <w:rPr>
          <w:rFonts w:cstheme="minorHAnsi"/>
        </w:rPr>
        <w:t xml:space="preserve">. </w:t>
      </w:r>
    </w:p>
    <w:p w14:paraId="09A5F509" w14:textId="77777777" w:rsidR="0069625F" w:rsidRDefault="0069625F" w:rsidP="0067743C">
      <w:pPr>
        <w:pStyle w:val="Paragrafoelenco"/>
        <w:numPr>
          <w:ilvl w:val="0"/>
          <w:numId w:val="7"/>
        </w:numPr>
        <w:suppressAutoHyphens w:val="0"/>
        <w:spacing w:before="100" w:beforeAutospacing="1" w:after="100" w:afterAutospacing="1" w:line="240" w:lineRule="auto"/>
        <w:jc w:val="both"/>
        <w:rPr>
          <w:rFonts w:ascii="Calibri" w:eastAsia="Times New Roman" w:hAnsi="Calibri" w:cs="Calibri"/>
          <w:lang w:eastAsia="it-IT"/>
        </w:rPr>
      </w:pPr>
      <w:r w:rsidRPr="001E63F0">
        <w:rPr>
          <w:rFonts w:ascii="Calibri" w:eastAsia="Times New Roman" w:hAnsi="Calibri" w:cs="Calibri"/>
          <w:lang w:eastAsia="it-IT"/>
        </w:rPr>
        <w:t>Partecipazione alle attività del Team Rapido di Risposta Domiciliare (TRRD</w:t>
      </w:r>
      <w:r>
        <w:rPr>
          <w:rFonts w:ascii="Calibri" w:eastAsia="Times New Roman" w:hAnsi="Calibri" w:cs="Calibri"/>
          <w:lang w:eastAsia="it-IT"/>
        </w:rPr>
        <w:t>/UCA</w:t>
      </w:r>
      <w:r w:rsidRPr="001E63F0">
        <w:rPr>
          <w:rFonts w:ascii="Calibri" w:eastAsia="Times New Roman" w:hAnsi="Calibri" w:cs="Calibri"/>
          <w:lang w:eastAsia="it-IT"/>
        </w:rPr>
        <w:t xml:space="preserve">) </w:t>
      </w:r>
    </w:p>
    <w:p w14:paraId="3EB60D99" w14:textId="77777777" w:rsidR="0069625F" w:rsidRPr="001E63F0" w:rsidRDefault="0069625F" w:rsidP="0067743C">
      <w:pPr>
        <w:pStyle w:val="Paragrafoelenco"/>
        <w:numPr>
          <w:ilvl w:val="0"/>
          <w:numId w:val="7"/>
        </w:numPr>
        <w:suppressAutoHyphens w:val="0"/>
        <w:spacing w:before="100" w:beforeAutospacing="1" w:after="100" w:afterAutospacing="1" w:line="240" w:lineRule="auto"/>
        <w:jc w:val="both"/>
        <w:rPr>
          <w:rFonts w:ascii="Calibri" w:eastAsia="Times New Roman" w:hAnsi="Calibri" w:cs="Calibri"/>
          <w:lang w:eastAsia="it-IT"/>
        </w:rPr>
      </w:pPr>
      <w:r w:rsidRPr="001E63F0">
        <w:rPr>
          <w:rFonts w:ascii="Calibri" w:eastAsia="Times New Roman" w:hAnsi="Calibri" w:cs="Calibri"/>
          <w:lang w:eastAsia="it-IT"/>
        </w:rPr>
        <w:t>Partecipazione alle attività dell’Ospedale di Comunità (</w:t>
      </w:r>
      <w:proofErr w:type="spellStart"/>
      <w:r w:rsidRPr="001E63F0">
        <w:rPr>
          <w:rFonts w:ascii="Calibri" w:eastAsia="Times New Roman" w:hAnsi="Calibri" w:cs="Calibri"/>
          <w:lang w:eastAsia="it-IT"/>
        </w:rPr>
        <w:t>OdC</w:t>
      </w:r>
      <w:proofErr w:type="spellEnd"/>
      <w:r w:rsidRPr="001E63F0">
        <w:rPr>
          <w:rFonts w:ascii="Calibri" w:eastAsia="Times New Roman" w:hAnsi="Calibri" w:cs="Calibri"/>
          <w:lang w:eastAsia="it-IT"/>
        </w:rPr>
        <w:t xml:space="preserve">) </w:t>
      </w:r>
    </w:p>
    <w:p w14:paraId="6C2BE8F8" w14:textId="77777777" w:rsidR="001B52C1" w:rsidRDefault="007E438C" w:rsidP="001E3C08">
      <w:pPr>
        <w:spacing w:line="240" w:lineRule="auto"/>
        <w:jc w:val="both"/>
        <w:rPr>
          <w:sz w:val="20"/>
          <w:szCs w:val="20"/>
        </w:rPr>
      </w:pPr>
      <w:r>
        <w:rPr>
          <w:rFonts w:asciiTheme="minorHAnsi" w:eastAsia="Times New Roman" w:hAnsiTheme="minorHAnsi" w:cstheme="minorHAnsi"/>
          <w:bCs/>
          <w:color w:val="000000" w:themeColor="text1"/>
          <w:kern w:val="0"/>
          <w:lang w:eastAsia="it-IT"/>
        </w:rPr>
        <w:t xml:space="preserve">Nel seguito si propongono, in forma tabellare, </w:t>
      </w:r>
      <w:r w:rsidR="00026EB1">
        <w:rPr>
          <w:rFonts w:asciiTheme="minorHAnsi" w:eastAsia="Times New Roman" w:hAnsiTheme="minorHAnsi" w:cstheme="minorHAnsi"/>
          <w:bCs/>
          <w:color w:val="000000" w:themeColor="text1"/>
          <w:kern w:val="0"/>
          <w:lang w:eastAsia="it-IT"/>
        </w:rPr>
        <w:t>detti ambiti accostati</w:t>
      </w:r>
      <w:r>
        <w:rPr>
          <w:rFonts w:asciiTheme="minorHAnsi" w:eastAsia="Times New Roman" w:hAnsiTheme="minorHAnsi" w:cstheme="minorHAnsi"/>
          <w:bCs/>
          <w:color w:val="000000" w:themeColor="text1"/>
          <w:kern w:val="0"/>
          <w:lang w:eastAsia="it-IT"/>
        </w:rPr>
        <w:t xml:space="preserve"> agli obiettivi strategici delle ASST (</w:t>
      </w:r>
      <w:r>
        <w:rPr>
          <w:i/>
        </w:rPr>
        <w:t xml:space="preserve">AREA </w:t>
      </w:r>
      <w:r>
        <w:t>e</w:t>
      </w:r>
      <w:r w:rsidRPr="00406F96">
        <w:rPr>
          <w:i/>
        </w:rPr>
        <w:t xml:space="preserve"> DESCRIZIONE OBIETTIVO</w:t>
      </w:r>
      <w:r>
        <w:t>) e agli</w:t>
      </w:r>
      <w:r w:rsidRPr="00406F96">
        <w:rPr>
          <w:i/>
        </w:rPr>
        <w:t xml:space="preserve"> </w:t>
      </w:r>
      <w:r>
        <w:rPr>
          <w:rFonts w:asciiTheme="minorHAnsi" w:eastAsia="Times New Roman" w:hAnsiTheme="minorHAnsi" w:cstheme="minorHAnsi"/>
          <w:bCs/>
          <w:color w:val="000000" w:themeColor="text1"/>
          <w:kern w:val="0"/>
          <w:lang w:eastAsia="it-IT"/>
        </w:rPr>
        <w:t>indicatori</w:t>
      </w:r>
      <w:r>
        <w:rPr>
          <w:i/>
        </w:rPr>
        <w:t xml:space="preserve"> </w:t>
      </w:r>
      <w:r>
        <w:t>(</w:t>
      </w:r>
      <w:r w:rsidRPr="00406F96">
        <w:rPr>
          <w:i/>
        </w:rPr>
        <w:t>INDICATORE</w:t>
      </w:r>
      <w:r>
        <w:t>) di cui ai Decreti del Direttore Generale al Welfare ad oggetto</w:t>
      </w:r>
      <w:r w:rsidRPr="00406F96">
        <w:rPr>
          <w:sz w:val="20"/>
          <w:szCs w:val="20"/>
        </w:rPr>
        <w:t xml:space="preserve"> </w:t>
      </w:r>
      <w:r w:rsidRPr="00406F96">
        <w:rPr>
          <w:i/>
          <w:sz w:val="20"/>
          <w:szCs w:val="20"/>
        </w:rPr>
        <w:t>DECLINAZIONE DEGLI INDICATORI RELATIVI AGLI OBIETTIVI DELLA ASST – ANNO 2025</w:t>
      </w:r>
      <w:r>
        <w:rPr>
          <w:sz w:val="20"/>
          <w:szCs w:val="20"/>
        </w:rPr>
        <w:t>.</w:t>
      </w:r>
      <w:r w:rsidR="001B52C1">
        <w:rPr>
          <w:sz w:val="20"/>
          <w:szCs w:val="20"/>
        </w:rPr>
        <w:t xml:space="preserve"> </w:t>
      </w:r>
    </w:p>
    <w:p w14:paraId="703006FA" w14:textId="4E7CCE69" w:rsidR="007E438C" w:rsidRPr="001B52C1" w:rsidRDefault="001B52C1" w:rsidP="001E3C08">
      <w:pPr>
        <w:spacing w:line="240" w:lineRule="auto"/>
        <w:jc w:val="both"/>
      </w:pPr>
      <w:r w:rsidRPr="001B52C1">
        <w:t>Per ogni Obiettivo e Indicatore</w:t>
      </w:r>
      <w:r w:rsidR="00804A59">
        <w:t xml:space="preserve"> è individuata una specifica Progettualità/Attività.</w:t>
      </w:r>
    </w:p>
    <w:tbl>
      <w:tblPr>
        <w:tblStyle w:val="Tabellagriglia1chiara-colore6"/>
        <w:tblW w:w="0" w:type="auto"/>
        <w:tblLook w:val="04A0" w:firstRow="1" w:lastRow="0" w:firstColumn="1" w:lastColumn="0" w:noHBand="0" w:noVBand="1"/>
      </w:tblPr>
      <w:tblGrid>
        <w:gridCol w:w="2723"/>
        <w:gridCol w:w="2570"/>
        <w:gridCol w:w="2792"/>
        <w:gridCol w:w="3869"/>
        <w:gridCol w:w="2323"/>
      </w:tblGrid>
      <w:tr w:rsidR="00804A59" w:rsidRPr="0037491F" w14:paraId="49D75A14" w14:textId="72A65DFF" w:rsidTr="00F54E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3" w:type="dxa"/>
          </w:tcPr>
          <w:p w14:paraId="68CC2901" w14:textId="77777777" w:rsidR="00804A59" w:rsidRPr="0037491F" w:rsidRDefault="00804A59" w:rsidP="0037491F">
            <w:pPr>
              <w:jc w:val="center"/>
              <w:rPr>
                <w:sz w:val="18"/>
                <w:szCs w:val="18"/>
              </w:rPr>
            </w:pPr>
          </w:p>
        </w:tc>
        <w:tc>
          <w:tcPr>
            <w:tcW w:w="9231" w:type="dxa"/>
            <w:gridSpan w:val="3"/>
          </w:tcPr>
          <w:p w14:paraId="3F3E0876" w14:textId="04FE6B47" w:rsidR="00804A59" w:rsidRPr="0037491F" w:rsidRDefault="00804A59" w:rsidP="0037491F">
            <w:pPr>
              <w:jc w:val="center"/>
              <w:cnfStyle w:val="100000000000" w:firstRow="1" w:lastRow="0" w:firstColumn="0" w:lastColumn="0" w:oddVBand="0" w:evenVBand="0" w:oddHBand="0" w:evenHBand="0" w:firstRowFirstColumn="0" w:firstRowLastColumn="0" w:lastRowFirstColumn="0" w:lastRowLastColumn="0"/>
              <w:rPr>
                <w:sz w:val="18"/>
                <w:szCs w:val="18"/>
              </w:rPr>
            </w:pPr>
            <w:r w:rsidRPr="0037491F">
              <w:rPr>
                <w:rFonts w:asciiTheme="minorHAnsi" w:hAnsiTheme="minorHAnsi" w:cstheme="minorHAnsi"/>
                <w:bCs w:val="0"/>
                <w:color w:val="000000" w:themeColor="text1"/>
                <w:sz w:val="18"/>
                <w:szCs w:val="18"/>
              </w:rPr>
              <w:t>DGR 4434 del 26.05.2025</w:t>
            </w:r>
          </w:p>
        </w:tc>
        <w:tc>
          <w:tcPr>
            <w:tcW w:w="2323" w:type="dxa"/>
          </w:tcPr>
          <w:p w14:paraId="7370F38C" w14:textId="77777777" w:rsidR="00804A59" w:rsidRPr="0037491F" w:rsidRDefault="00804A59" w:rsidP="0037491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sz w:val="18"/>
                <w:szCs w:val="18"/>
              </w:rPr>
            </w:pPr>
          </w:p>
        </w:tc>
      </w:tr>
      <w:tr w:rsidR="00804A59" w:rsidRPr="0037491F" w14:paraId="1FBBE891" w14:textId="4F3C4210" w:rsidTr="00F54EF8">
        <w:tc>
          <w:tcPr>
            <w:cnfStyle w:val="001000000000" w:firstRow="0" w:lastRow="0" w:firstColumn="1" w:lastColumn="0" w:oddVBand="0" w:evenVBand="0" w:oddHBand="0" w:evenHBand="0" w:firstRowFirstColumn="0" w:firstRowLastColumn="0" w:lastRowFirstColumn="0" w:lastRowLastColumn="0"/>
            <w:tcW w:w="2723" w:type="dxa"/>
          </w:tcPr>
          <w:p w14:paraId="186372C2" w14:textId="1468BB42" w:rsidR="00804A59" w:rsidRPr="0037491F" w:rsidRDefault="00804A59" w:rsidP="0037491F">
            <w:pPr>
              <w:jc w:val="center"/>
              <w:rPr>
                <w:sz w:val="18"/>
                <w:szCs w:val="18"/>
              </w:rPr>
            </w:pPr>
            <w:r w:rsidRPr="0037491F">
              <w:rPr>
                <w:sz w:val="18"/>
                <w:szCs w:val="18"/>
              </w:rPr>
              <w:t>AMBITO DELLA MEDICINA GENERALE</w:t>
            </w:r>
          </w:p>
        </w:tc>
        <w:tc>
          <w:tcPr>
            <w:tcW w:w="2570" w:type="dxa"/>
          </w:tcPr>
          <w:p w14:paraId="3A363ABE" w14:textId="10EB9EA2" w:rsidR="00804A59" w:rsidRPr="0037491F" w:rsidRDefault="00804A59" w:rsidP="0037491F">
            <w:pPr>
              <w:jc w:val="center"/>
              <w:cnfStyle w:val="000000000000" w:firstRow="0" w:lastRow="0" w:firstColumn="0" w:lastColumn="0" w:oddVBand="0" w:evenVBand="0" w:oddHBand="0" w:evenHBand="0" w:firstRowFirstColumn="0" w:firstRowLastColumn="0" w:lastRowFirstColumn="0" w:lastRowLastColumn="0"/>
              <w:rPr>
                <w:b/>
                <w:sz w:val="18"/>
                <w:szCs w:val="18"/>
              </w:rPr>
            </w:pPr>
            <w:r w:rsidRPr="0037491F">
              <w:rPr>
                <w:b/>
                <w:sz w:val="18"/>
                <w:szCs w:val="18"/>
              </w:rPr>
              <w:t>AREA</w:t>
            </w:r>
          </w:p>
        </w:tc>
        <w:tc>
          <w:tcPr>
            <w:tcW w:w="2792" w:type="dxa"/>
          </w:tcPr>
          <w:p w14:paraId="4D7862B0" w14:textId="2F66487A" w:rsidR="00804A59" w:rsidRPr="0037491F" w:rsidRDefault="00804A59" w:rsidP="0037491F">
            <w:pPr>
              <w:jc w:val="center"/>
              <w:cnfStyle w:val="000000000000" w:firstRow="0" w:lastRow="0" w:firstColumn="0" w:lastColumn="0" w:oddVBand="0" w:evenVBand="0" w:oddHBand="0" w:evenHBand="0" w:firstRowFirstColumn="0" w:firstRowLastColumn="0" w:lastRowFirstColumn="0" w:lastRowLastColumn="0"/>
              <w:rPr>
                <w:b/>
                <w:sz w:val="18"/>
                <w:szCs w:val="18"/>
              </w:rPr>
            </w:pPr>
            <w:r w:rsidRPr="0037491F">
              <w:rPr>
                <w:b/>
                <w:sz w:val="18"/>
                <w:szCs w:val="18"/>
              </w:rPr>
              <w:t>DESCRIZIONE OBIETTIVO</w:t>
            </w:r>
          </w:p>
        </w:tc>
        <w:tc>
          <w:tcPr>
            <w:tcW w:w="3869" w:type="dxa"/>
          </w:tcPr>
          <w:p w14:paraId="1E6EE7B6" w14:textId="4FEE8AE7" w:rsidR="00804A59" w:rsidRPr="0037491F" w:rsidRDefault="00804A59" w:rsidP="0037491F">
            <w:pPr>
              <w:jc w:val="center"/>
              <w:cnfStyle w:val="000000000000" w:firstRow="0" w:lastRow="0" w:firstColumn="0" w:lastColumn="0" w:oddVBand="0" w:evenVBand="0" w:oddHBand="0" w:evenHBand="0" w:firstRowFirstColumn="0" w:firstRowLastColumn="0" w:lastRowFirstColumn="0" w:lastRowLastColumn="0"/>
              <w:rPr>
                <w:b/>
                <w:sz w:val="18"/>
                <w:szCs w:val="18"/>
              </w:rPr>
            </w:pPr>
            <w:r w:rsidRPr="0037491F">
              <w:rPr>
                <w:b/>
                <w:sz w:val="18"/>
                <w:szCs w:val="18"/>
              </w:rPr>
              <w:t>INDICATORE</w:t>
            </w:r>
          </w:p>
        </w:tc>
        <w:tc>
          <w:tcPr>
            <w:tcW w:w="2323" w:type="dxa"/>
          </w:tcPr>
          <w:p w14:paraId="55BF318F" w14:textId="14925214" w:rsidR="00804A59" w:rsidRPr="0037491F" w:rsidRDefault="00967393" w:rsidP="00967393">
            <w:pPr>
              <w:jc w:val="center"/>
              <w:cnfStyle w:val="000000000000" w:firstRow="0" w:lastRow="0" w:firstColumn="0" w:lastColumn="0" w:oddVBand="0" w:evenVBand="0" w:oddHBand="0" w:evenHBand="0" w:firstRowFirstColumn="0" w:firstRowLastColumn="0" w:lastRowFirstColumn="0" w:lastRowLastColumn="0"/>
              <w:rPr>
                <w:b/>
                <w:sz w:val="18"/>
                <w:szCs w:val="18"/>
              </w:rPr>
            </w:pPr>
            <w:r>
              <w:rPr>
                <w:b/>
                <w:sz w:val="18"/>
                <w:szCs w:val="18"/>
              </w:rPr>
              <w:t>PROGETTUALITA’ AIR 2025</w:t>
            </w:r>
          </w:p>
        </w:tc>
      </w:tr>
      <w:tr w:rsidR="00804A59" w:rsidRPr="0037491F" w14:paraId="676E5737" w14:textId="22DD1B4F" w:rsidTr="00F54EF8">
        <w:tc>
          <w:tcPr>
            <w:cnfStyle w:val="001000000000" w:firstRow="0" w:lastRow="0" w:firstColumn="1" w:lastColumn="0" w:oddVBand="0" w:evenVBand="0" w:oddHBand="0" w:evenHBand="0" w:firstRowFirstColumn="0" w:firstRowLastColumn="0" w:lastRowFirstColumn="0" w:lastRowLastColumn="0"/>
            <w:tcW w:w="2723" w:type="dxa"/>
            <w:vMerge w:val="restart"/>
          </w:tcPr>
          <w:p w14:paraId="0C18E5C4" w14:textId="0D53B0D7" w:rsidR="00804A59" w:rsidRPr="0037491F" w:rsidRDefault="00804A59" w:rsidP="0037491F">
            <w:pPr>
              <w:rPr>
                <w:sz w:val="18"/>
                <w:szCs w:val="18"/>
              </w:rPr>
            </w:pPr>
            <w:r w:rsidRPr="0037491F">
              <w:rPr>
                <w:sz w:val="18"/>
                <w:szCs w:val="18"/>
              </w:rPr>
              <w:t>Prevenzione e promozione della salute</w:t>
            </w:r>
          </w:p>
        </w:tc>
        <w:tc>
          <w:tcPr>
            <w:tcW w:w="2570" w:type="dxa"/>
          </w:tcPr>
          <w:p w14:paraId="32334CF9" w14:textId="5EB3D151" w:rsidR="00804A59" w:rsidRPr="0037491F" w:rsidRDefault="00804A59" w:rsidP="0037491F">
            <w:pPr>
              <w:cnfStyle w:val="000000000000" w:firstRow="0" w:lastRow="0" w:firstColumn="0" w:lastColumn="0" w:oddVBand="0" w:evenVBand="0" w:oddHBand="0" w:evenHBand="0" w:firstRowFirstColumn="0" w:firstRowLastColumn="0" w:lastRowFirstColumn="0" w:lastRowLastColumn="0"/>
              <w:rPr>
                <w:sz w:val="18"/>
                <w:szCs w:val="18"/>
              </w:rPr>
            </w:pPr>
            <w:r w:rsidRPr="0037491F">
              <w:rPr>
                <w:sz w:val="18"/>
                <w:szCs w:val="18"/>
              </w:rPr>
              <w:t>Prevenzione</w:t>
            </w:r>
          </w:p>
        </w:tc>
        <w:tc>
          <w:tcPr>
            <w:tcW w:w="2792" w:type="dxa"/>
          </w:tcPr>
          <w:p w14:paraId="751CABD8" w14:textId="2BA1495F" w:rsidR="00804A59" w:rsidRPr="0037491F" w:rsidRDefault="00804A59" w:rsidP="001B52C1">
            <w:pPr>
              <w:jc w:val="both"/>
              <w:cnfStyle w:val="000000000000" w:firstRow="0" w:lastRow="0" w:firstColumn="0" w:lastColumn="0" w:oddVBand="0" w:evenVBand="0" w:oddHBand="0" w:evenHBand="0" w:firstRowFirstColumn="0" w:firstRowLastColumn="0" w:lastRowFirstColumn="0" w:lastRowLastColumn="0"/>
              <w:rPr>
                <w:sz w:val="18"/>
                <w:szCs w:val="18"/>
              </w:rPr>
            </w:pPr>
            <w:r w:rsidRPr="0037491F">
              <w:rPr>
                <w:rFonts w:cs="Calibri"/>
                <w:color w:val="000000"/>
                <w:sz w:val="18"/>
                <w:szCs w:val="18"/>
              </w:rPr>
              <w:t>Miglioramento degli esiti delle campagne di vaccinazione</w:t>
            </w:r>
          </w:p>
        </w:tc>
        <w:tc>
          <w:tcPr>
            <w:tcW w:w="3869" w:type="dxa"/>
          </w:tcPr>
          <w:p w14:paraId="67F970EE" w14:textId="06DACA5A" w:rsidR="00804A59" w:rsidRPr="0037491F" w:rsidRDefault="00804A59" w:rsidP="001B52C1">
            <w:pPr>
              <w:jc w:val="both"/>
              <w:cnfStyle w:val="000000000000" w:firstRow="0" w:lastRow="0" w:firstColumn="0" w:lastColumn="0" w:oddVBand="0" w:evenVBand="0" w:oddHBand="0" w:evenHBand="0" w:firstRowFirstColumn="0" w:firstRowLastColumn="0" w:lastRowFirstColumn="0" w:lastRowLastColumn="0"/>
              <w:rPr>
                <w:sz w:val="18"/>
                <w:szCs w:val="18"/>
              </w:rPr>
            </w:pPr>
            <w:r w:rsidRPr="0037491F">
              <w:rPr>
                <w:rFonts w:cs="Calibri"/>
                <w:sz w:val="18"/>
                <w:szCs w:val="18"/>
              </w:rPr>
              <w:t>Capacità di una regione di garantire un'offerta adeguata in termini di prevenzione della patologia influenzale</w:t>
            </w:r>
          </w:p>
        </w:tc>
        <w:tc>
          <w:tcPr>
            <w:tcW w:w="2323" w:type="dxa"/>
          </w:tcPr>
          <w:p w14:paraId="176D6FCE" w14:textId="225E980C" w:rsidR="00804A59" w:rsidRPr="00967393" w:rsidRDefault="00967393" w:rsidP="001B52C1">
            <w:pPr>
              <w:jc w:val="both"/>
              <w:cnfStyle w:val="000000000000" w:firstRow="0" w:lastRow="0" w:firstColumn="0" w:lastColumn="0" w:oddVBand="0" w:evenVBand="0" w:oddHBand="0" w:evenHBand="0" w:firstRowFirstColumn="0" w:firstRowLastColumn="0" w:lastRowFirstColumn="0" w:lastRowLastColumn="0"/>
              <w:rPr>
                <w:rFonts w:cs="Calibri"/>
                <w:b/>
                <w:sz w:val="18"/>
                <w:szCs w:val="18"/>
              </w:rPr>
            </w:pPr>
            <w:r w:rsidRPr="00967393">
              <w:rPr>
                <w:rFonts w:cs="Calibri"/>
                <w:b/>
                <w:sz w:val="18"/>
                <w:szCs w:val="18"/>
              </w:rPr>
              <w:t>Prevenzione della Patologia Influenzale</w:t>
            </w:r>
          </w:p>
        </w:tc>
      </w:tr>
      <w:tr w:rsidR="00804A59" w:rsidRPr="0037491F" w14:paraId="370F7AA1" w14:textId="5C66FDF6" w:rsidTr="00F54EF8">
        <w:tc>
          <w:tcPr>
            <w:cnfStyle w:val="001000000000" w:firstRow="0" w:lastRow="0" w:firstColumn="1" w:lastColumn="0" w:oddVBand="0" w:evenVBand="0" w:oddHBand="0" w:evenHBand="0" w:firstRowFirstColumn="0" w:firstRowLastColumn="0" w:lastRowFirstColumn="0" w:lastRowLastColumn="0"/>
            <w:tcW w:w="2723" w:type="dxa"/>
            <w:vMerge/>
          </w:tcPr>
          <w:p w14:paraId="762700F6" w14:textId="77777777" w:rsidR="00804A59" w:rsidRPr="0037491F" w:rsidRDefault="00804A59" w:rsidP="0037491F">
            <w:pPr>
              <w:rPr>
                <w:sz w:val="18"/>
                <w:szCs w:val="18"/>
              </w:rPr>
            </w:pPr>
          </w:p>
        </w:tc>
        <w:tc>
          <w:tcPr>
            <w:tcW w:w="2570" w:type="dxa"/>
          </w:tcPr>
          <w:p w14:paraId="515CCE82" w14:textId="62E936D9" w:rsidR="00804A59" w:rsidRPr="0037491F" w:rsidRDefault="00804A59" w:rsidP="0037491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Nuovo Sistema di Garanzia (NSG)</w:t>
            </w:r>
          </w:p>
        </w:tc>
        <w:tc>
          <w:tcPr>
            <w:tcW w:w="2792" w:type="dxa"/>
          </w:tcPr>
          <w:p w14:paraId="706B35DA" w14:textId="3647FC26" w:rsidR="00804A59" w:rsidRPr="0037491F" w:rsidRDefault="00804A59" w:rsidP="001B52C1">
            <w:pPr>
              <w:jc w:val="both"/>
              <w:cnfStyle w:val="000000000000" w:firstRow="0" w:lastRow="0" w:firstColumn="0" w:lastColumn="0" w:oddVBand="0" w:evenVBand="0" w:oddHBand="0" w:evenHBand="0" w:firstRowFirstColumn="0" w:firstRowLastColumn="0" w:lastRowFirstColumn="0" w:lastRowLastColumn="0"/>
              <w:rPr>
                <w:sz w:val="18"/>
                <w:szCs w:val="18"/>
              </w:rPr>
            </w:pPr>
            <w:r w:rsidRPr="0037491F">
              <w:rPr>
                <w:rFonts w:cs="Calibri"/>
                <w:color w:val="000000"/>
                <w:sz w:val="18"/>
                <w:szCs w:val="18"/>
              </w:rPr>
              <w:t>Rispetto dei target previsti per gli indicatori NSG dell’area prevenzione</w:t>
            </w:r>
          </w:p>
        </w:tc>
        <w:tc>
          <w:tcPr>
            <w:tcW w:w="3869" w:type="dxa"/>
          </w:tcPr>
          <w:p w14:paraId="5BFDEA39" w14:textId="662D4432" w:rsidR="00804A59" w:rsidRPr="0037491F" w:rsidRDefault="00804A59" w:rsidP="001B52C1">
            <w:pPr>
              <w:jc w:val="both"/>
              <w:cnfStyle w:val="000000000000" w:firstRow="0" w:lastRow="0" w:firstColumn="0" w:lastColumn="0" w:oddVBand="0" w:evenVBand="0" w:oddHBand="0" w:evenHBand="0" w:firstRowFirstColumn="0" w:firstRowLastColumn="0" w:lastRowFirstColumn="0" w:lastRowLastColumn="0"/>
              <w:rPr>
                <w:sz w:val="18"/>
                <w:szCs w:val="18"/>
              </w:rPr>
            </w:pPr>
            <w:r w:rsidRPr="00024308">
              <w:rPr>
                <w:rFonts w:cs="Calibri"/>
                <w:color w:val="000000"/>
                <w:sz w:val="18"/>
                <w:szCs w:val="18"/>
              </w:rPr>
              <w:t xml:space="preserve">Copertura screening oncologici [CERVICE UTERINA </w:t>
            </w:r>
            <w:r>
              <w:rPr>
                <w:rFonts w:cs="Calibri"/>
                <w:color w:val="000000"/>
                <w:sz w:val="18"/>
                <w:szCs w:val="18"/>
              </w:rPr>
              <w:t xml:space="preserve">- </w:t>
            </w:r>
            <w:r w:rsidRPr="00024308">
              <w:rPr>
                <w:rFonts w:cs="Calibri"/>
                <w:color w:val="000000"/>
                <w:sz w:val="18"/>
                <w:szCs w:val="18"/>
              </w:rPr>
              <w:t xml:space="preserve">PAP TEST </w:t>
            </w:r>
            <w:r>
              <w:rPr>
                <w:rFonts w:cs="Calibri"/>
                <w:color w:val="000000"/>
                <w:sz w:val="18"/>
                <w:szCs w:val="18"/>
              </w:rPr>
              <w:t xml:space="preserve">- </w:t>
            </w:r>
            <w:r w:rsidRPr="00024308">
              <w:rPr>
                <w:rFonts w:cs="Calibri"/>
                <w:color w:val="000000"/>
                <w:sz w:val="18"/>
                <w:szCs w:val="18"/>
              </w:rPr>
              <w:t>HPV TEST, MAMMELLA, COLON RETTO] rappresenta la quota di popolazione residente ed ele</w:t>
            </w:r>
            <w:r>
              <w:rPr>
                <w:rFonts w:cs="Calibri"/>
                <w:color w:val="000000"/>
                <w:sz w:val="18"/>
                <w:szCs w:val="18"/>
              </w:rPr>
              <w:t>g</w:t>
            </w:r>
            <w:r w:rsidRPr="00024308">
              <w:rPr>
                <w:rFonts w:cs="Calibri"/>
                <w:color w:val="000000"/>
                <w:sz w:val="18"/>
                <w:szCs w:val="18"/>
              </w:rPr>
              <w:t>gibile di ATS/ASST che ha effettuato il test di screening oncologico nel programma organizzato</w:t>
            </w:r>
          </w:p>
        </w:tc>
        <w:tc>
          <w:tcPr>
            <w:tcW w:w="2323" w:type="dxa"/>
          </w:tcPr>
          <w:p w14:paraId="7629B52F" w14:textId="39585638" w:rsidR="00804A59" w:rsidRPr="00024308" w:rsidRDefault="00967393" w:rsidP="001B52C1">
            <w:pPr>
              <w:jc w:val="both"/>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967393">
              <w:rPr>
                <w:rFonts w:cs="Calibri"/>
                <w:b/>
                <w:sz w:val="18"/>
                <w:szCs w:val="18"/>
              </w:rPr>
              <w:t>Copertura Screening oncologici</w:t>
            </w:r>
          </w:p>
        </w:tc>
      </w:tr>
      <w:tr w:rsidR="0090739B" w:rsidRPr="0037491F" w14:paraId="4CF4856C" w14:textId="77777777" w:rsidTr="00F54EF8">
        <w:tc>
          <w:tcPr>
            <w:cnfStyle w:val="001000000000" w:firstRow="0" w:lastRow="0" w:firstColumn="1" w:lastColumn="0" w:oddVBand="0" w:evenVBand="0" w:oddHBand="0" w:evenHBand="0" w:firstRowFirstColumn="0" w:firstRowLastColumn="0" w:lastRowFirstColumn="0" w:lastRowLastColumn="0"/>
            <w:tcW w:w="2723" w:type="dxa"/>
            <w:vMerge w:val="restart"/>
          </w:tcPr>
          <w:p w14:paraId="3C678A9E" w14:textId="77777777" w:rsidR="0090739B" w:rsidRPr="00C53201" w:rsidRDefault="0090739B" w:rsidP="0090739B">
            <w:pPr>
              <w:spacing w:before="100" w:beforeAutospacing="1" w:after="100" w:afterAutospacing="1"/>
              <w:jc w:val="both"/>
              <w:rPr>
                <w:sz w:val="18"/>
                <w:szCs w:val="18"/>
              </w:rPr>
            </w:pPr>
            <w:r w:rsidRPr="00C53201">
              <w:rPr>
                <w:sz w:val="18"/>
                <w:szCs w:val="18"/>
              </w:rPr>
              <w:t>Partecipazione a programmi di salute pubblica</w:t>
            </w:r>
          </w:p>
          <w:p w14:paraId="22D624E1" w14:textId="77777777" w:rsidR="0090739B" w:rsidRPr="00024308" w:rsidRDefault="0090739B" w:rsidP="00967393">
            <w:pPr>
              <w:spacing w:before="100" w:beforeAutospacing="1" w:after="100" w:afterAutospacing="1"/>
              <w:jc w:val="both"/>
              <w:rPr>
                <w:sz w:val="18"/>
                <w:szCs w:val="18"/>
              </w:rPr>
            </w:pPr>
          </w:p>
        </w:tc>
        <w:tc>
          <w:tcPr>
            <w:tcW w:w="2570" w:type="dxa"/>
          </w:tcPr>
          <w:p w14:paraId="0C51910D" w14:textId="337440FE" w:rsidR="0090739B" w:rsidRDefault="0090739B" w:rsidP="00967393">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Nuovo Sistema di Garanzia (NSG)</w:t>
            </w:r>
          </w:p>
        </w:tc>
        <w:tc>
          <w:tcPr>
            <w:tcW w:w="2792" w:type="dxa"/>
          </w:tcPr>
          <w:p w14:paraId="303653E0" w14:textId="0DEE1F53" w:rsidR="0090739B" w:rsidRPr="00024308" w:rsidRDefault="0090739B" w:rsidP="00967393">
            <w:pPr>
              <w:jc w:val="both"/>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1B52C1">
              <w:rPr>
                <w:sz w:val="18"/>
                <w:szCs w:val="18"/>
              </w:rPr>
              <w:t>Raggiungimento target NSG - Area Distrettuale</w:t>
            </w:r>
          </w:p>
        </w:tc>
        <w:tc>
          <w:tcPr>
            <w:tcW w:w="3869" w:type="dxa"/>
          </w:tcPr>
          <w:p w14:paraId="2F3C7C09" w14:textId="03347ED5" w:rsidR="0090739B" w:rsidRPr="00024308" w:rsidRDefault="0090739B" w:rsidP="00967393">
            <w:pPr>
              <w:jc w:val="both"/>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1B52C1">
              <w:rPr>
                <w:sz w:val="18"/>
                <w:szCs w:val="18"/>
              </w:rPr>
              <w:t>D14C: Consumo di farmaci sentinella/traccianti per 1.000 abitanti. Antibiotici</w:t>
            </w:r>
            <w:r w:rsidRPr="001B52C1">
              <w:rPr>
                <w:sz w:val="18"/>
                <w:szCs w:val="18"/>
              </w:rPr>
              <w:br/>
              <w:t>a. Sono considerati i seguenti farmaci: Classe ATC J01</w:t>
            </w:r>
            <w:r w:rsidRPr="001B52C1">
              <w:rPr>
                <w:sz w:val="18"/>
                <w:szCs w:val="18"/>
              </w:rPr>
              <w:br/>
              <w:t>b. Con riferimento al flusso Distribuzione diretta e per conto (DM 31 luglio 2007) sono esclusi gli anonimi</w:t>
            </w:r>
          </w:p>
        </w:tc>
        <w:tc>
          <w:tcPr>
            <w:tcW w:w="2323" w:type="dxa"/>
            <w:vMerge w:val="restart"/>
          </w:tcPr>
          <w:p w14:paraId="704E256B" w14:textId="77777777" w:rsidR="0090739B" w:rsidRPr="00967393" w:rsidRDefault="0090739B" w:rsidP="0090739B">
            <w:pPr>
              <w:pStyle w:val="paragraph"/>
              <w:spacing w:beforeAutospacing="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b/>
                <w:bCs/>
                <w:sz w:val="18"/>
                <w:szCs w:val="18"/>
                <w:lang w:eastAsia="en-US"/>
              </w:rPr>
            </w:pPr>
            <w:r w:rsidRPr="00967393">
              <w:rPr>
                <w:rFonts w:ascii="Calibri" w:eastAsia="Calibri" w:hAnsi="Calibri"/>
                <w:b/>
                <w:bCs/>
                <w:sz w:val="18"/>
                <w:szCs w:val="18"/>
                <w:lang w:eastAsia="en-US"/>
              </w:rPr>
              <w:t xml:space="preserve">Contrasto all’Antibiotico resistenza </w:t>
            </w:r>
          </w:p>
          <w:p w14:paraId="3E6F3FEF" w14:textId="77777777" w:rsidR="0090739B" w:rsidRDefault="0090739B" w:rsidP="00967393">
            <w:pPr>
              <w:jc w:val="both"/>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p>
        </w:tc>
      </w:tr>
      <w:tr w:rsidR="0090739B" w:rsidRPr="0037491F" w14:paraId="7EC21982" w14:textId="77777777" w:rsidTr="00F54EF8">
        <w:tc>
          <w:tcPr>
            <w:cnfStyle w:val="001000000000" w:firstRow="0" w:lastRow="0" w:firstColumn="1" w:lastColumn="0" w:oddVBand="0" w:evenVBand="0" w:oddHBand="0" w:evenHBand="0" w:firstRowFirstColumn="0" w:firstRowLastColumn="0" w:lastRowFirstColumn="0" w:lastRowLastColumn="0"/>
            <w:tcW w:w="2723" w:type="dxa"/>
            <w:vMerge/>
          </w:tcPr>
          <w:p w14:paraId="6CAB7E1B" w14:textId="77777777" w:rsidR="0090739B" w:rsidRPr="00024308" w:rsidRDefault="0090739B" w:rsidP="0090739B">
            <w:pPr>
              <w:spacing w:before="100" w:beforeAutospacing="1" w:after="100" w:afterAutospacing="1"/>
              <w:jc w:val="both"/>
              <w:rPr>
                <w:sz w:val="18"/>
                <w:szCs w:val="18"/>
              </w:rPr>
            </w:pPr>
          </w:p>
        </w:tc>
        <w:tc>
          <w:tcPr>
            <w:tcW w:w="2570" w:type="dxa"/>
          </w:tcPr>
          <w:p w14:paraId="0A11BC0F" w14:textId="3B94A21F" w:rsidR="0090739B" w:rsidRDefault="0090739B" w:rsidP="0090739B">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Prevenzione</w:t>
            </w:r>
          </w:p>
        </w:tc>
        <w:tc>
          <w:tcPr>
            <w:tcW w:w="2792" w:type="dxa"/>
          </w:tcPr>
          <w:p w14:paraId="656854CD" w14:textId="501C4BEA" w:rsidR="0090739B" w:rsidRPr="001B52C1" w:rsidRDefault="0090739B" w:rsidP="0090739B">
            <w:pPr>
              <w:jc w:val="both"/>
              <w:cnfStyle w:val="000000000000" w:firstRow="0" w:lastRow="0" w:firstColumn="0" w:lastColumn="0" w:oddVBand="0" w:evenVBand="0" w:oddHBand="0" w:evenHBand="0" w:firstRowFirstColumn="0" w:firstRowLastColumn="0" w:lastRowFirstColumn="0" w:lastRowLastColumn="0"/>
              <w:rPr>
                <w:sz w:val="18"/>
                <w:szCs w:val="18"/>
              </w:rPr>
            </w:pPr>
            <w:r w:rsidRPr="001B52C1">
              <w:rPr>
                <w:sz w:val="18"/>
                <w:szCs w:val="18"/>
              </w:rPr>
              <w:t xml:space="preserve">Valutazione per l’area territoriale della prescrizione degli antibiotici attraverso la classificazione </w:t>
            </w:r>
            <w:proofErr w:type="spellStart"/>
            <w:r w:rsidRPr="001B52C1">
              <w:rPr>
                <w:sz w:val="18"/>
                <w:szCs w:val="18"/>
              </w:rPr>
              <w:t>AWaRe</w:t>
            </w:r>
            <w:proofErr w:type="spellEnd"/>
            <w:r w:rsidRPr="001B52C1">
              <w:rPr>
                <w:sz w:val="18"/>
                <w:szCs w:val="18"/>
              </w:rPr>
              <w:t xml:space="preserve">, che suddivide gli antibiotici in tre categorie: Access (accesso), </w:t>
            </w:r>
            <w:r w:rsidRPr="001B52C1">
              <w:rPr>
                <w:sz w:val="18"/>
                <w:szCs w:val="18"/>
              </w:rPr>
              <w:lastRenderedPageBreak/>
              <w:t xml:space="preserve">Watch (attenzione) e </w:t>
            </w:r>
            <w:proofErr w:type="spellStart"/>
            <w:r w:rsidRPr="001B52C1">
              <w:rPr>
                <w:sz w:val="18"/>
                <w:szCs w:val="18"/>
              </w:rPr>
              <w:t>Reserve</w:t>
            </w:r>
            <w:proofErr w:type="spellEnd"/>
            <w:r w:rsidRPr="001B52C1">
              <w:rPr>
                <w:sz w:val="18"/>
                <w:szCs w:val="18"/>
              </w:rPr>
              <w:t xml:space="preserve"> (riserva), per promuovere un utilizzo più mirato ed efficace di questi farmaci essenziali.</w:t>
            </w:r>
          </w:p>
        </w:tc>
        <w:tc>
          <w:tcPr>
            <w:tcW w:w="3869" w:type="dxa"/>
          </w:tcPr>
          <w:p w14:paraId="6E8A3601" w14:textId="689922E0" w:rsidR="0090739B" w:rsidRPr="001B52C1" w:rsidRDefault="0090739B" w:rsidP="0090739B">
            <w:pPr>
              <w:jc w:val="both"/>
              <w:cnfStyle w:val="000000000000" w:firstRow="0" w:lastRow="0" w:firstColumn="0" w:lastColumn="0" w:oddVBand="0" w:evenVBand="0" w:oddHBand="0" w:evenHBand="0" w:firstRowFirstColumn="0" w:firstRowLastColumn="0" w:lastRowFirstColumn="0" w:lastRowLastColumn="0"/>
              <w:rPr>
                <w:sz w:val="18"/>
                <w:szCs w:val="18"/>
              </w:rPr>
            </w:pPr>
            <w:r w:rsidRPr="001B52C1">
              <w:rPr>
                <w:sz w:val="18"/>
                <w:szCs w:val="18"/>
              </w:rPr>
              <w:lastRenderedPageBreak/>
              <w:t xml:space="preserve">Gli antibiotici “Access” sono raccomandati per la maggior parte delle infezioni, presentando uno spettro di attività ristretto e un buon profilo di sicurezza; gli antibiotici “Watch” sono destinati a condizioni specifiche, con un uso più controllato </w:t>
            </w:r>
            <w:r w:rsidRPr="001B52C1">
              <w:rPr>
                <w:sz w:val="18"/>
                <w:szCs w:val="18"/>
              </w:rPr>
              <w:lastRenderedPageBreak/>
              <w:t>per limitare lo sviluppo di resistenze; gli antibiotici “</w:t>
            </w:r>
            <w:proofErr w:type="spellStart"/>
            <w:r w:rsidRPr="001B52C1">
              <w:rPr>
                <w:sz w:val="18"/>
                <w:szCs w:val="18"/>
              </w:rPr>
              <w:t>Reserve</w:t>
            </w:r>
            <w:proofErr w:type="spellEnd"/>
            <w:r w:rsidRPr="001B52C1">
              <w:rPr>
                <w:sz w:val="18"/>
                <w:szCs w:val="18"/>
              </w:rPr>
              <w:t xml:space="preserve">” sono riservati alle infezioni da agenti </w:t>
            </w:r>
            <w:proofErr w:type="spellStart"/>
            <w:r w:rsidRPr="001B52C1">
              <w:rPr>
                <w:sz w:val="18"/>
                <w:szCs w:val="18"/>
              </w:rPr>
              <w:t>multiresistenti</w:t>
            </w:r>
            <w:proofErr w:type="spellEnd"/>
            <w:r w:rsidRPr="001B52C1">
              <w:rPr>
                <w:sz w:val="18"/>
                <w:szCs w:val="18"/>
              </w:rPr>
              <w:t>, per preservarne l’efficacia nel tempo per preservarne l’efficacia nel tempo</w:t>
            </w:r>
          </w:p>
        </w:tc>
        <w:tc>
          <w:tcPr>
            <w:tcW w:w="2323" w:type="dxa"/>
            <w:vMerge/>
          </w:tcPr>
          <w:p w14:paraId="4746B608" w14:textId="77777777" w:rsidR="0090739B" w:rsidRDefault="0090739B" w:rsidP="0090739B">
            <w:pPr>
              <w:jc w:val="both"/>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p>
        </w:tc>
      </w:tr>
      <w:tr w:rsidR="0090739B" w:rsidRPr="0037491F" w14:paraId="5E3B9EEB" w14:textId="77777777" w:rsidTr="00F54EF8">
        <w:tc>
          <w:tcPr>
            <w:cnfStyle w:val="001000000000" w:firstRow="0" w:lastRow="0" w:firstColumn="1" w:lastColumn="0" w:oddVBand="0" w:evenVBand="0" w:oddHBand="0" w:evenHBand="0" w:firstRowFirstColumn="0" w:firstRowLastColumn="0" w:lastRowFirstColumn="0" w:lastRowLastColumn="0"/>
            <w:tcW w:w="2723" w:type="dxa"/>
            <w:vMerge w:val="restart"/>
          </w:tcPr>
          <w:p w14:paraId="1491FF2C" w14:textId="77777777" w:rsidR="0090739B" w:rsidRPr="00024308" w:rsidRDefault="0090739B" w:rsidP="0090739B">
            <w:pPr>
              <w:suppressAutoHyphens w:val="0"/>
              <w:spacing w:before="100" w:beforeAutospacing="1" w:after="100" w:afterAutospacing="1"/>
              <w:jc w:val="both"/>
              <w:rPr>
                <w:sz w:val="18"/>
                <w:szCs w:val="18"/>
              </w:rPr>
            </w:pPr>
            <w:r w:rsidRPr="00024308">
              <w:rPr>
                <w:sz w:val="18"/>
                <w:szCs w:val="18"/>
              </w:rPr>
              <w:lastRenderedPageBreak/>
              <w:t>Gestione delle patologie croniche</w:t>
            </w:r>
          </w:p>
          <w:p w14:paraId="5B200435" w14:textId="77777777" w:rsidR="0090739B" w:rsidRPr="00024308" w:rsidRDefault="0090739B" w:rsidP="0090739B">
            <w:pPr>
              <w:spacing w:before="100" w:beforeAutospacing="1" w:after="100" w:afterAutospacing="1"/>
              <w:jc w:val="both"/>
              <w:rPr>
                <w:sz w:val="18"/>
                <w:szCs w:val="18"/>
              </w:rPr>
            </w:pPr>
          </w:p>
        </w:tc>
        <w:tc>
          <w:tcPr>
            <w:tcW w:w="2570" w:type="dxa"/>
          </w:tcPr>
          <w:p w14:paraId="764E5352" w14:textId="75472B43" w:rsidR="0090739B" w:rsidRDefault="0090739B" w:rsidP="0090739B">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Rete territoriale</w:t>
            </w:r>
          </w:p>
        </w:tc>
        <w:tc>
          <w:tcPr>
            <w:tcW w:w="2792" w:type="dxa"/>
          </w:tcPr>
          <w:p w14:paraId="35DF6A79" w14:textId="46539277" w:rsidR="0090739B" w:rsidRPr="00024308" w:rsidRDefault="0090739B" w:rsidP="0090739B">
            <w:pPr>
              <w:jc w:val="both"/>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C53201">
              <w:rPr>
                <w:rFonts w:cs="Calibri"/>
                <w:color w:val="000000"/>
                <w:sz w:val="18"/>
                <w:szCs w:val="18"/>
              </w:rPr>
              <w:t>Sviluppo di percorsi per pazienti cronici e fragili</w:t>
            </w:r>
          </w:p>
        </w:tc>
        <w:tc>
          <w:tcPr>
            <w:tcW w:w="3869" w:type="dxa"/>
          </w:tcPr>
          <w:p w14:paraId="0F26B314" w14:textId="77777777" w:rsidR="0090739B" w:rsidRPr="00C53201" w:rsidRDefault="0090739B" w:rsidP="0090739B">
            <w:pPr>
              <w:jc w:val="both"/>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C53201">
              <w:rPr>
                <w:rFonts w:cs="Calibri"/>
                <w:color w:val="000000"/>
                <w:sz w:val="18"/>
                <w:szCs w:val="18"/>
              </w:rPr>
              <w:t>Raggiungimento target PIC previsto per l’anno 2025</w:t>
            </w:r>
          </w:p>
          <w:p w14:paraId="5AB0C38E" w14:textId="77777777" w:rsidR="0090739B" w:rsidRPr="00C53201" w:rsidRDefault="0090739B" w:rsidP="0067743C">
            <w:pPr>
              <w:pStyle w:val="Paragrafoelenco"/>
              <w:numPr>
                <w:ilvl w:val="0"/>
                <w:numId w:val="9"/>
              </w:num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14:ligatures w14:val="none"/>
              </w:rPr>
            </w:pPr>
            <w:r w:rsidRPr="00C53201">
              <w:rPr>
                <w:rFonts w:ascii="Calibri" w:eastAsia="Calibri" w:hAnsi="Calibri" w:cs="Calibri"/>
                <w:color w:val="000000"/>
                <w:sz w:val="18"/>
                <w:szCs w:val="18"/>
                <w14:ligatures w14:val="none"/>
              </w:rPr>
              <w:t>Numero di pazienti cronici presi in carico sul totale dei pazienti di competenza, considerando solo i pazienti cronici dei MMG non aderenti a cooperativa ≥10%</w:t>
            </w:r>
          </w:p>
          <w:p w14:paraId="57047D32" w14:textId="4A4B0EC1" w:rsidR="0090739B" w:rsidRPr="00024308" w:rsidRDefault="0090739B" w:rsidP="0090739B">
            <w:pPr>
              <w:jc w:val="both"/>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C53201">
              <w:rPr>
                <w:rFonts w:cs="Calibri"/>
                <w:color w:val="000000"/>
                <w:sz w:val="18"/>
                <w:szCs w:val="18"/>
              </w:rPr>
              <w:t>Numero di pazienti cronici presi in carico sul totale dei pazienti di competenza, considerando solo i pazienti cronici dei MMG aderenti a cooperativa ≥20%</w:t>
            </w:r>
          </w:p>
        </w:tc>
        <w:tc>
          <w:tcPr>
            <w:tcW w:w="2323" w:type="dxa"/>
          </w:tcPr>
          <w:p w14:paraId="3C81D8BB" w14:textId="77777777" w:rsidR="0090739B" w:rsidRPr="0090739B" w:rsidRDefault="0090739B" w:rsidP="0090739B">
            <w:pPr>
              <w:pStyle w:val="paragraph"/>
              <w:spacing w:beforeAutospacing="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b/>
                <w:bCs/>
                <w:sz w:val="18"/>
                <w:szCs w:val="18"/>
                <w:lang w:eastAsia="en-US"/>
              </w:rPr>
            </w:pPr>
            <w:r w:rsidRPr="0090739B">
              <w:rPr>
                <w:rFonts w:ascii="Calibri" w:eastAsia="Calibri" w:hAnsi="Calibri"/>
                <w:b/>
                <w:bCs/>
                <w:sz w:val="18"/>
                <w:szCs w:val="18"/>
                <w:lang w:eastAsia="en-US"/>
              </w:rPr>
              <w:t>Sviluppo di percorsi per pazienti cronici e fragili</w:t>
            </w:r>
          </w:p>
          <w:p w14:paraId="6243CDD0" w14:textId="77777777" w:rsidR="0090739B" w:rsidRDefault="0090739B" w:rsidP="0090739B">
            <w:pPr>
              <w:jc w:val="both"/>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p>
        </w:tc>
      </w:tr>
      <w:tr w:rsidR="0090739B" w:rsidRPr="0037491F" w14:paraId="6033862E" w14:textId="4D533D27" w:rsidTr="00F54EF8">
        <w:tc>
          <w:tcPr>
            <w:cnfStyle w:val="001000000000" w:firstRow="0" w:lastRow="0" w:firstColumn="1" w:lastColumn="0" w:oddVBand="0" w:evenVBand="0" w:oddHBand="0" w:evenHBand="0" w:firstRowFirstColumn="0" w:firstRowLastColumn="0" w:lastRowFirstColumn="0" w:lastRowLastColumn="0"/>
            <w:tcW w:w="2723" w:type="dxa"/>
            <w:vMerge/>
          </w:tcPr>
          <w:p w14:paraId="401DD542" w14:textId="77777777" w:rsidR="0090739B" w:rsidRPr="0037491F" w:rsidRDefault="0090739B" w:rsidP="0090739B">
            <w:pPr>
              <w:spacing w:before="100" w:beforeAutospacing="1" w:after="100" w:afterAutospacing="1"/>
              <w:jc w:val="both"/>
              <w:rPr>
                <w:sz w:val="18"/>
                <w:szCs w:val="18"/>
              </w:rPr>
            </w:pPr>
          </w:p>
        </w:tc>
        <w:tc>
          <w:tcPr>
            <w:tcW w:w="2570" w:type="dxa"/>
          </w:tcPr>
          <w:p w14:paraId="538B1C0B" w14:textId="70CD9C32" w:rsidR="0090739B" w:rsidRPr="0037491F" w:rsidRDefault="0090739B" w:rsidP="0037491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Nuovo Sistema di Garanzia (NSG)</w:t>
            </w:r>
          </w:p>
        </w:tc>
        <w:tc>
          <w:tcPr>
            <w:tcW w:w="2792" w:type="dxa"/>
          </w:tcPr>
          <w:p w14:paraId="1ABFAE63" w14:textId="525E8B62" w:rsidR="0090739B" w:rsidRPr="0037491F" w:rsidRDefault="0090739B" w:rsidP="001B52C1">
            <w:pPr>
              <w:jc w:val="both"/>
              <w:cnfStyle w:val="000000000000" w:firstRow="0" w:lastRow="0" w:firstColumn="0" w:lastColumn="0" w:oddVBand="0" w:evenVBand="0" w:oddHBand="0" w:evenHBand="0" w:firstRowFirstColumn="0" w:firstRowLastColumn="0" w:lastRowFirstColumn="0" w:lastRowLastColumn="0"/>
              <w:rPr>
                <w:sz w:val="18"/>
                <w:szCs w:val="18"/>
              </w:rPr>
            </w:pPr>
            <w:r w:rsidRPr="00024308">
              <w:rPr>
                <w:rFonts w:cs="Calibri"/>
                <w:color w:val="000000"/>
                <w:sz w:val="18"/>
                <w:szCs w:val="18"/>
              </w:rPr>
              <w:t>Raggiungimento target NSG - Area Distrettuale / Ospedaliera</w:t>
            </w:r>
          </w:p>
        </w:tc>
        <w:tc>
          <w:tcPr>
            <w:tcW w:w="3869" w:type="dxa"/>
          </w:tcPr>
          <w:p w14:paraId="4691BE04" w14:textId="6BE57684" w:rsidR="0090739B" w:rsidRPr="0037491F" w:rsidRDefault="0090739B" w:rsidP="001B52C1">
            <w:pPr>
              <w:jc w:val="both"/>
              <w:cnfStyle w:val="000000000000" w:firstRow="0" w:lastRow="0" w:firstColumn="0" w:lastColumn="0" w:oddVBand="0" w:evenVBand="0" w:oddHBand="0" w:evenHBand="0" w:firstRowFirstColumn="0" w:firstRowLastColumn="0" w:lastRowFirstColumn="0" w:lastRowLastColumn="0"/>
              <w:rPr>
                <w:sz w:val="18"/>
                <w:szCs w:val="18"/>
              </w:rPr>
            </w:pPr>
            <w:r w:rsidRPr="00024308">
              <w:rPr>
                <w:rFonts w:cs="Calibri"/>
                <w:color w:val="000000"/>
                <w:sz w:val="18"/>
                <w:szCs w:val="18"/>
              </w:rPr>
              <w:t>PDTA03(B): Garantire un'adeguata aderenza al trattamento con Beta bloccanti nello scompenso cardiaco (maggiore o uguale al 75% dei giorni coperti dal trattamento) nei 12 mesi successivi alla prima prescrizione dopo il ricovero indice</w:t>
            </w:r>
          </w:p>
        </w:tc>
        <w:tc>
          <w:tcPr>
            <w:tcW w:w="2323" w:type="dxa"/>
            <w:vMerge w:val="restart"/>
          </w:tcPr>
          <w:p w14:paraId="0ED1F6F1" w14:textId="77777777" w:rsidR="0090739B" w:rsidRPr="00024308" w:rsidRDefault="0090739B" w:rsidP="001B52C1">
            <w:pPr>
              <w:jc w:val="both"/>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90739B">
              <w:rPr>
                <w:b/>
                <w:bCs/>
                <w:sz w:val="18"/>
                <w:szCs w:val="18"/>
              </w:rPr>
              <w:t>Assistenza Ambulatoriale e domiciliare per il contenimento delle ospedalizzazioni per diabete, BPCO e scompenso cardiaco</w:t>
            </w:r>
          </w:p>
          <w:p w14:paraId="5C96D95B" w14:textId="77777777" w:rsidR="0090739B" w:rsidRDefault="0090739B" w:rsidP="001B52C1">
            <w:pPr>
              <w:jc w:val="both"/>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p>
          <w:p w14:paraId="221D647B" w14:textId="77777777" w:rsidR="0090739B" w:rsidRDefault="0090739B" w:rsidP="001B52C1">
            <w:pPr>
              <w:jc w:val="both"/>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p>
          <w:p w14:paraId="5CA49627" w14:textId="77777777" w:rsidR="0090739B" w:rsidRDefault="0090739B" w:rsidP="001B52C1">
            <w:pPr>
              <w:jc w:val="both"/>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p>
          <w:p w14:paraId="0D5DD012" w14:textId="69BE8E83" w:rsidR="0090739B" w:rsidRPr="00024308" w:rsidRDefault="0090739B" w:rsidP="0090739B">
            <w:pPr>
              <w:pStyle w:val="paragraph"/>
              <w:spacing w:beforeAutospacing="0" w:afterAutospacing="0"/>
              <w:jc w:val="both"/>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p>
        </w:tc>
      </w:tr>
      <w:tr w:rsidR="0090739B" w:rsidRPr="0037491F" w14:paraId="5AC54758" w14:textId="63040047" w:rsidTr="00F54EF8">
        <w:tc>
          <w:tcPr>
            <w:cnfStyle w:val="001000000000" w:firstRow="0" w:lastRow="0" w:firstColumn="1" w:lastColumn="0" w:oddVBand="0" w:evenVBand="0" w:oddHBand="0" w:evenHBand="0" w:firstRowFirstColumn="0" w:firstRowLastColumn="0" w:lastRowFirstColumn="0" w:lastRowLastColumn="0"/>
            <w:tcW w:w="2723" w:type="dxa"/>
            <w:vMerge/>
          </w:tcPr>
          <w:p w14:paraId="33AF6DAD" w14:textId="77777777" w:rsidR="0090739B" w:rsidRPr="00450C47" w:rsidRDefault="0090739B" w:rsidP="0037491F">
            <w:pPr>
              <w:rPr>
                <w:b w:val="0"/>
                <w:bCs w:val="0"/>
                <w:sz w:val="18"/>
                <w:szCs w:val="18"/>
              </w:rPr>
            </w:pPr>
          </w:p>
        </w:tc>
        <w:tc>
          <w:tcPr>
            <w:tcW w:w="2570" w:type="dxa"/>
            <w:vMerge w:val="restart"/>
          </w:tcPr>
          <w:p w14:paraId="6C0F4CF4" w14:textId="1277468F" w:rsidR="0090739B" w:rsidRPr="0037491F" w:rsidRDefault="0090739B" w:rsidP="0037491F">
            <w:pPr>
              <w:cnfStyle w:val="000000000000" w:firstRow="0" w:lastRow="0" w:firstColumn="0" w:lastColumn="0" w:oddVBand="0" w:evenVBand="0" w:oddHBand="0" w:evenHBand="0" w:firstRowFirstColumn="0" w:firstRowLastColumn="0" w:lastRowFirstColumn="0" w:lastRowLastColumn="0"/>
              <w:rPr>
                <w:sz w:val="18"/>
                <w:szCs w:val="18"/>
              </w:rPr>
            </w:pPr>
            <w:r w:rsidRPr="00450C47">
              <w:rPr>
                <w:sz w:val="18"/>
                <w:szCs w:val="18"/>
              </w:rPr>
              <w:t>Telemedicina</w:t>
            </w:r>
          </w:p>
        </w:tc>
        <w:tc>
          <w:tcPr>
            <w:tcW w:w="2792" w:type="dxa"/>
          </w:tcPr>
          <w:p w14:paraId="220814F1" w14:textId="5623B9C3" w:rsidR="0090739B" w:rsidRPr="00450C47" w:rsidRDefault="0090739B" w:rsidP="001B52C1">
            <w:pPr>
              <w:jc w:val="both"/>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450C47">
              <w:rPr>
                <w:rFonts w:cs="Calibri"/>
                <w:color w:val="000000"/>
                <w:sz w:val="18"/>
                <w:szCs w:val="18"/>
              </w:rPr>
              <w:t>Avvio del Teleconsulto tra Medici di Assistenza Primaria/Pediatri di Libera Scelta (MAP/PLS) e Medici Specialisti</w:t>
            </w:r>
          </w:p>
        </w:tc>
        <w:tc>
          <w:tcPr>
            <w:tcW w:w="3869" w:type="dxa"/>
          </w:tcPr>
          <w:p w14:paraId="2B183566" w14:textId="6E303203" w:rsidR="0090739B" w:rsidRPr="00450C47" w:rsidRDefault="0090739B" w:rsidP="001B52C1">
            <w:pPr>
              <w:jc w:val="both"/>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450C47">
              <w:rPr>
                <w:rFonts w:cs="Calibri"/>
                <w:color w:val="000000"/>
                <w:sz w:val="18"/>
                <w:szCs w:val="18"/>
              </w:rPr>
              <w:t>Creazione di agende specialistiche dedicate al teleconsulto con MAP/PLS in almeno 2 branche specialistiche e con almeno 2 ore settimanali di disponibilità per ciascuna specialità.</w:t>
            </w:r>
          </w:p>
        </w:tc>
        <w:tc>
          <w:tcPr>
            <w:tcW w:w="2323" w:type="dxa"/>
            <w:vMerge/>
          </w:tcPr>
          <w:p w14:paraId="2B8B9769" w14:textId="1F7CB900" w:rsidR="0090739B" w:rsidRPr="00450C47" w:rsidRDefault="0090739B" w:rsidP="001B52C1">
            <w:pPr>
              <w:jc w:val="both"/>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p>
        </w:tc>
      </w:tr>
      <w:tr w:rsidR="0090739B" w:rsidRPr="0037491F" w14:paraId="25EA08CE" w14:textId="253C550A" w:rsidTr="00F54EF8">
        <w:tc>
          <w:tcPr>
            <w:cnfStyle w:val="001000000000" w:firstRow="0" w:lastRow="0" w:firstColumn="1" w:lastColumn="0" w:oddVBand="0" w:evenVBand="0" w:oddHBand="0" w:evenHBand="0" w:firstRowFirstColumn="0" w:firstRowLastColumn="0" w:lastRowFirstColumn="0" w:lastRowLastColumn="0"/>
            <w:tcW w:w="2723" w:type="dxa"/>
            <w:vMerge/>
          </w:tcPr>
          <w:p w14:paraId="5D4EEB23" w14:textId="77777777" w:rsidR="0090739B" w:rsidRPr="0037491F" w:rsidRDefault="0090739B" w:rsidP="0037491F">
            <w:pPr>
              <w:rPr>
                <w:sz w:val="18"/>
                <w:szCs w:val="18"/>
              </w:rPr>
            </w:pPr>
          </w:p>
        </w:tc>
        <w:tc>
          <w:tcPr>
            <w:tcW w:w="2570" w:type="dxa"/>
            <w:vMerge/>
          </w:tcPr>
          <w:p w14:paraId="379F7455" w14:textId="77777777" w:rsidR="0090739B" w:rsidRPr="0037491F" w:rsidRDefault="0090739B" w:rsidP="0037491F">
            <w:pPr>
              <w:cnfStyle w:val="000000000000" w:firstRow="0" w:lastRow="0" w:firstColumn="0" w:lastColumn="0" w:oddVBand="0" w:evenVBand="0" w:oddHBand="0" w:evenHBand="0" w:firstRowFirstColumn="0" w:firstRowLastColumn="0" w:lastRowFirstColumn="0" w:lastRowLastColumn="0"/>
              <w:rPr>
                <w:sz w:val="18"/>
                <w:szCs w:val="18"/>
              </w:rPr>
            </w:pPr>
          </w:p>
        </w:tc>
        <w:tc>
          <w:tcPr>
            <w:tcW w:w="2792" w:type="dxa"/>
          </w:tcPr>
          <w:p w14:paraId="7B3EB9D1" w14:textId="219D2427" w:rsidR="0090739B" w:rsidRPr="00450C47" w:rsidRDefault="0090739B" w:rsidP="001B52C1">
            <w:pPr>
              <w:jc w:val="both"/>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450C47">
              <w:rPr>
                <w:rFonts w:cs="Calibri"/>
                <w:color w:val="000000"/>
                <w:sz w:val="18"/>
                <w:szCs w:val="18"/>
              </w:rPr>
              <w:t xml:space="preserve">Adozione della Telemedicina - </w:t>
            </w:r>
            <w:proofErr w:type="spellStart"/>
            <w:r w:rsidRPr="00450C47">
              <w:rPr>
                <w:rFonts w:cs="Calibri"/>
                <w:color w:val="000000"/>
                <w:sz w:val="18"/>
                <w:szCs w:val="18"/>
              </w:rPr>
              <w:t>Telemonitoraggio</w:t>
            </w:r>
            <w:proofErr w:type="spellEnd"/>
            <w:r w:rsidRPr="00450C47">
              <w:rPr>
                <w:rFonts w:cs="Calibri"/>
                <w:color w:val="000000"/>
                <w:sz w:val="18"/>
                <w:szCs w:val="18"/>
              </w:rPr>
              <w:t xml:space="preserve"> di tipo 1 pazienti cronici</w:t>
            </w:r>
          </w:p>
        </w:tc>
        <w:tc>
          <w:tcPr>
            <w:tcW w:w="3869" w:type="dxa"/>
          </w:tcPr>
          <w:p w14:paraId="306B7812" w14:textId="27FF340F" w:rsidR="0090739B" w:rsidRPr="00450C47" w:rsidRDefault="0090739B" w:rsidP="001B52C1">
            <w:pPr>
              <w:jc w:val="both"/>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450C47">
              <w:rPr>
                <w:rFonts w:cs="Calibri"/>
                <w:color w:val="000000"/>
                <w:sz w:val="18"/>
                <w:szCs w:val="18"/>
              </w:rPr>
              <w:t>Creazione di agende specialistiche dedicate al teleconsulto con MAP/PLS in almeno 2 branche specialistiche e con almeno 2 ore settimanali di disponibilità per ciascuna specialità.</w:t>
            </w:r>
          </w:p>
        </w:tc>
        <w:tc>
          <w:tcPr>
            <w:tcW w:w="2323" w:type="dxa"/>
          </w:tcPr>
          <w:p w14:paraId="01E7D996" w14:textId="77777777" w:rsidR="0090739B" w:rsidRPr="0090739B" w:rsidRDefault="0090739B" w:rsidP="0090739B">
            <w:pPr>
              <w:pStyle w:val="paragraph"/>
              <w:spacing w:beforeAutospacing="0" w:afterAutospacing="0"/>
              <w:jc w:val="both"/>
              <w:cnfStyle w:val="000000000000" w:firstRow="0" w:lastRow="0" w:firstColumn="0" w:lastColumn="0" w:oddVBand="0" w:evenVBand="0" w:oddHBand="0" w:evenHBand="0" w:firstRowFirstColumn="0" w:firstRowLastColumn="0" w:lastRowFirstColumn="0" w:lastRowLastColumn="0"/>
              <w:rPr>
                <w:rFonts w:ascii="Calibri" w:eastAsia="Calibri" w:hAnsi="Calibri"/>
                <w:b/>
                <w:bCs/>
                <w:sz w:val="18"/>
                <w:szCs w:val="18"/>
                <w:lang w:eastAsia="en-US"/>
              </w:rPr>
            </w:pPr>
            <w:proofErr w:type="spellStart"/>
            <w:r w:rsidRPr="0090739B">
              <w:rPr>
                <w:rFonts w:ascii="Calibri" w:eastAsia="Calibri" w:hAnsi="Calibri"/>
                <w:b/>
                <w:bCs/>
                <w:sz w:val="18"/>
                <w:szCs w:val="18"/>
                <w:lang w:eastAsia="en-US"/>
              </w:rPr>
              <w:t>Telemonitoraggio</w:t>
            </w:r>
            <w:proofErr w:type="spellEnd"/>
            <w:r w:rsidRPr="0090739B">
              <w:rPr>
                <w:rFonts w:ascii="Calibri" w:eastAsia="Calibri" w:hAnsi="Calibri"/>
                <w:b/>
                <w:bCs/>
                <w:sz w:val="18"/>
                <w:szCs w:val="18"/>
                <w:lang w:eastAsia="en-US"/>
              </w:rPr>
              <w:t xml:space="preserve"> di tipo 1 nei pazienti in ADP/PSD</w:t>
            </w:r>
          </w:p>
          <w:p w14:paraId="16971576" w14:textId="79DC3615" w:rsidR="0090739B" w:rsidRPr="00450C47" w:rsidRDefault="0090739B" w:rsidP="001B52C1">
            <w:pPr>
              <w:jc w:val="both"/>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p>
        </w:tc>
      </w:tr>
      <w:tr w:rsidR="00804A59" w:rsidRPr="0037491F" w14:paraId="40FC575D" w14:textId="6D4823CB" w:rsidTr="00F54EF8">
        <w:tc>
          <w:tcPr>
            <w:cnfStyle w:val="001000000000" w:firstRow="0" w:lastRow="0" w:firstColumn="1" w:lastColumn="0" w:oddVBand="0" w:evenVBand="0" w:oddHBand="0" w:evenHBand="0" w:firstRowFirstColumn="0" w:firstRowLastColumn="0" w:lastRowFirstColumn="0" w:lastRowLastColumn="0"/>
            <w:tcW w:w="2723" w:type="dxa"/>
          </w:tcPr>
          <w:p w14:paraId="61D02CE0" w14:textId="7DE425C7" w:rsidR="00804A59" w:rsidRPr="0037491F" w:rsidRDefault="00804A59" w:rsidP="0037491F">
            <w:pPr>
              <w:rPr>
                <w:sz w:val="18"/>
                <w:szCs w:val="18"/>
              </w:rPr>
            </w:pPr>
            <w:r>
              <w:rPr>
                <w:sz w:val="18"/>
                <w:szCs w:val="18"/>
              </w:rPr>
              <w:t>Assistenza Ambulatoriale e domiciliare</w:t>
            </w:r>
          </w:p>
        </w:tc>
        <w:tc>
          <w:tcPr>
            <w:tcW w:w="2570" w:type="dxa"/>
          </w:tcPr>
          <w:p w14:paraId="0A5684AA" w14:textId="2493A620" w:rsidR="00804A59" w:rsidRPr="0037491F" w:rsidRDefault="00804A59" w:rsidP="0037491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Nuovo Sistema di Garanzia (NSG)</w:t>
            </w:r>
          </w:p>
        </w:tc>
        <w:tc>
          <w:tcPr>
            <w:tcW w:w="2792" w:type="dxa"/>
          </w:tcPr>
          <w:p w14:paraId="342C27D4" w14:textId="73A27E13" w:rsidR="00804A59" w:rsidRPr="00C53201" w:rsidRDefault="00804A59" w:rsidP="001B52C1">
            <w:pPr>
              <w:jc w:val="both"/>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C53201">
              <w:rPr>
                <w:rFonts w:cs="Calibri"/>
                <w:color w:val="000000"/>
                <w:sz w:val="18"/>
                <w:szCs w:val="18"/>
              </w:rPr>
              <w:t>Raggiungimento target NSG - Area Distrettuale</w:t>
            </w:r>
          </w:p>
        </w:tc>
        <w:tc>
          <w:tcPr>
            <w:tcW w:w="3869" w:type="dxa"/>
          </w:tcPr>
          <w:p w14:paraId="1D00C117" w14:textId="7D42E896" w:rsidR="00804A59" w:rsidRPr="00C53201" w:rsidRDefault="00804A59" w:rsidP="001B52C1">
            <w:pPr>
              <w:jc w:val="both"/>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C53201">
              <w:rPr>
                <w:rFonts w:cs="Calibri"/>
                <w:color w:val="000000"/>
                <w:sz w:val="18"/>
                <w:szCs w:val="18"/>
              </w:rPr>
              <w:t>D03C: Tasso di ospedalizzazione standardizzato (per 100.000 ab.) in età adulta (≥ 18 anni) per complicanze (a breve e lungo termine) per diabete, BPCO e scompenso cardiaco</w:t>
            </w:r>
          </w:p>
        </w:tc>
        <w:tc>
          <w:tcPr>
            <w:tcW w:w="2323" w:type="dxa"/>
          </w:tcPr>
          <w:p w14:paraId="52A82835" w14:textId="36972280" w:rsidR="0090739B" w:rsidRPr="00024308" w:rsidRDefault="0090739B" w:rsidP="0090739B">
            <w:pPr>
              <w:jc w:val="both"/>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b/>
                <w:bCs/>
                <w:sz w:val="18"/>
                <w:szCs w:val="18"/>
              </w:rPr>
              <w:t xml:space="preserve">Assistenza Ambulatoriale e </w:t>
            </w:r>
            <w:r w:rsidRPr="0090739B">
              <w:rPr>
                <w:b/>
                <w:bCs/>
                <w:sz w:val="18"/>
                <w:szCs w:val="18"/>
              </w:rPr>
              <w:t>domiciliare per il contenimento delle ospedalizzazioni per diabete, BPCO e scompenso cardiaco</w:t>
            </w:r>
          </w:p>
          <w:p w14:paraId="03922234" w14:textId="35B74393" w:rsidR="00804A59" w:rsidRPr="00C53201" w:rsidRDefault="00804A59" w:rsidP="001B52C1">
            <w:pPr>
              <w:jc w:val="both"/>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p>
        </w:tc>
      </w:tr>
      <w:tr w:rsidR="00967393" w:rsidRPr="0037491F" w14:paraId="7EEF56D1" w14:textId="12EA0A36" w:rsidTr="00F54EF8">
        <w:tc>
          <w:tcPr>
            <w:cnfStyle w:val="001000000000" w:firstRow="0" w:lastRow="0" w:firstColumn="1" w:lastColumn="0" w:oddVBand="0" w:evenVBand="0" w:oddHBand="0" w:evenHBand="0" w:firstRowFirstColumn="0" w:firstRowLastColumn="0" w:lastRowFirstColumn="0" w:lastRowLastColumn="0"/>
            <w:tcW w:w="2723" w:type="dxa"/>
          </w:tcPr>
          <w:p w14:paraId="6067D760" w14:textId="77777777" w:rsidR="00967393" w:rsidRPr="00C53201" w:rsidRDefault="00967393" w:rsidP="00C53201">
            <w:pPr>
              <w:spacing w:before="100" w:beforeAutospacing="1" w:after="100" w:afterAutospacing="1"/>
              <w:jc w:val="both"/>
              <w:rPr>
                <w:b w:val="0"/>
                <w:bCs w:val="0"/>
                <w:sz w:val="18"/>
                <w:szCs w:val="18"/>
              </w:rPr>
            </w:pPr>
          </w:p>
        </w:tc>
        <w:tc>
          <w:tcPr>
            <w:tcW w:w="2570" w:type="dxa"/>
          </w:tcPr>
          <w:p w14:paraId="0ABE740A" w14:textId="697E45D2" w:rsidR="00967393" w:rsidRDefault="00967393" w:rsidP="0037491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Prevenzione</w:t>
            </w:r>
          </w:p>
        </w:tc>
        <w:tc>
          <w:tcPr>
            <w:tcW w:w="2792" w:type="dxa"/>
          </w:tcPr>
          <w:p w14:paraId="47766844" w14:textId="19CDF3BC" w:rsidR="00967393" w:rsidRPr="001B52C1" w:rsidRDefault="00967393" w:rsidP="001B52C1">
            <w:pPr>
              <w:jc w:val="both"/>
              <w:cnfStyle w:val="000000000000" w:firstRow="0" w:lastRow="0" w:firstColumn="0" w:lastColumn="0" w:oddVBand="0" w:evenVBand="0" w:oddHBand="0" w:evenHBand="0" w:firstRowFirstColumn="0" w:firstRowLastColumn="0" w:lastRowFirstColumn="0" w:lastRowLastColumn="0"/>
              <w:rPr>
                <w:sz w:val="18"/>
                <w:szCs w:val="18"/>
              </w:rPr>
            </w:pPr>
            <w:r w:rsidRPr="001B52C1">
              <w:rPr>
                <w:sz w:val="18"/>
                <w:szCs w:val="18"/>
              </w:rPr>
              <w:t xml:space="preserve">Valutazione per l’area territoriale della prescrizione degli antibiotici attraverso la classificazione </w:t>
            </w:r>
            <w:proofErr w:type="spellStart"/>
            <w:r w:rsidRPr="001B52C1">
              <w:rPr>
                <w:sz w:val="18"/>
                <w:szCs w:val="18"/>
              </w:rPr>
              <w:t>AWaRe</w:t>
            </w:r>
            <w:proofErr w:type="spellEnd"/>
            <w:r w:rsidRPr="001B52C1">
              <w:rPr>
                <w:sz w:val="18"/>
                <w:szCs w:val="18"/>
              </w:rPr>
              <w:t xml:space="preserve">, che suddivide gli antibiotici in tre categorie: Access (accesso), Watch (attenzione) e </w:t>
            </w:r>
            <w:proofErr w:type="spellStart"/>
            <w:r w:rsidRPr="001B52C1">
              <w:rPr>
                <w:sz w:val="18"/>
                <w:szCs w:val="18"/>
              </w:rPr>
              <w:t>Reserve</w:t>
            </w:r>
            <w:proofErr w:type="spellEnd"/>
            <w:r w:rsidRPr="001B52C1">
              <w:rPr>
                <w:sz w:val="18"/>
                <w:szCs w:val="18"/>
              </w:rPr>
              <w:t xml:space="preserve"> (riserva), per promuovere un </w:t>
            </w:r>
            <w:r w:rsidRPr="001B52C1">
              <w:rPr>
                <w:sz w:val="18"/>
                <w:szCs w:val="18"/>
              </w:rPr>
              <w:lastRenderedPageBreak/>
              <w:t>utilizzo più mirato ed efficace di questi farmaci essenziali.</w:t>
            </w:r>
          </w:p>
        </w:tc>
        <w:tc>
          <w:tcPr>
            <w:tcW w:w="3869" w:type="dxa"/>
          </w:tcPr>
          <w:p w14:paraId="248AE13B" w14:textId="4E892553" w:rsidR="00967393" w:rsidRPr="001B52C1" w:rsidRDefault="00967393" w:rsidP="001B52C1">
            <w:pPr>
              <w:jc w:val="both"/>
              <w:cnfStyle w:val="000000000000" w:firstRow="0" w:lastRow="0" w:firstColumn="0" w:lastColumn="0" w:oddVBand="0" w:evenVBand="0" w:oddHBand="0" w:evenHBand="0" w:firstRowFirstColumn="0" w:firstRowLastColumn="0" w:lastRowFirstColumn="0" w:lastRowLastColumn="0"/>
              <w:rPr>
                <w:sz w:val="18"/>
                <w:szCs w:val="18"/>
              </w:rPr>
            </w:pPr>
            <w:r w:rsidRPr="001B52C1">
              <w:rPr>
                <w:sz w:val="18"/>
                <w:szCs w:val="18"/>
              </w:rPr>
              <w:lastRenderedPageBreak/>
              <w:t>Gli antibiotici “Access” sono raccomandati per la maggior parte delle infezioni, presentando uno spettro di attività ristretto e un buon profilo di sicurezza; gli antibiotici “Watch” sono destinati a condizioni specifiche, con un uso più controllato per limitare lo sviluppo di resistenze; gli antibiotici “</w:t>
            </w:r>
            <w:proofErr w:type="spellStart"/>
            <w:r w:rsidRPr="001B52C1">
              <w:rPr>
                <w:sz w:val="18"/>
                <w:szCs w:val="18"/>
              </w:rPr>
              <w:t>Reserve</w:t>
            </w:r>
            <w:proofErr w:type="spellEnd"/>
            <w:r w:rsidRPr="001B52C1">
              <w:rPr>
                <w:sz w:val="18"/>
                <w:szCs w:val="18"/>
              </w:rPr>
              <w:t xml:space="preserve">” sono riservati alle infezioni da agenti </w:t>
            </w:r>
            <w:proofErr w:type="spellStart"/>
            <w:r w:rsidRPr="001B52C1">
              <w:rPr>
                <w:sz w:val="18"/>
                <w:szCs w:val="18"/>
              </w:rPr>
              <w:lastRenderedPageBreak/>
              <w:t>multiresistenti</w:t>
            </w:r>
            <w:proofErr w:type="spellEnd"/>
            <w:r w:rsidRPr="001B52C1">
              <w:rPr>
                <w:sz w:val="18"/>
                <w:szCs w:val="18"/>
              </w:rPr>
              <w:t>, per preservarne l’efficacia nel tempo per preservarne l’efficacia nel tempo</w:t>
            </w:r>
          </w:p>
        </w:tc>
        <w:tc>
          <w:tcPr>
            <w:tcW w:w="2323" w:type="dxa"/>
          </w:tcPr>
          <w:p w14:paraId="37968299" w14:textId="629D1E7B" w:rsidR="00967393" w:rsidRPr="001B52C1" w:rsidRDefault="00967393" w:rsidP="001B52C1">
            <w:pPr>
              <w:jc w:val="both"/>
              <w:cnfStyle w:val="000000000000" w:firstRow="0" w:lastRow="0" w:firstColumn="0" w:lastColumn="0" w:oddVBand="0" w:evenVBand="0" w:oddHBand="0" w:evenHBand="0" w:firstRowFirstColumn="0" w:firstRowLastColumn="0" w:lastRowFirstColumn="0" w:lastRowLastColumn="0"/>
              <w:rPr>
                <w:sz w:val="18"/>
                <w:szCs w:val="18"/>
              </w:rPr>
            </w:pPr>
          </w:p>
        </w:tc>
      </w:tr>
    </w:tbl>
    <w:p w14:paraId="63581A89" w14:textId="77777777" w:rsidR="001B52C1" w:rsidRDefault="001B52C1" w:rsidP="001E3C08">
      <w:pPr>
        <w:spacing w:line="240" w:lineRule="auto"/>
        <w:jc w:val="both"/>
        <w:rPr>
          <w:sz w:val="20"/>
          <w:szCs w:val="20"/>
        </w:rPr>
      </w:pPr>
    </w:p>
    <w:p w14:paraId="2948E988" w14:textId="306BA60B" w:rsidR="00026EB1" w:rsidRPr="000C1ED5" w:rsidRDefault="001B52C1" w:rsidP="001E3C08">
      <w:pPr>
        <w:spacing w:line="240" w:lineRule="auto"/>
        <w:jc w:val="both"/>
      </w:pPr>
      <w:r w:rsidRPr="000C1ED5">
        <w:t xml:space="preserve">Gli Ambiti della </w:t>
      </w:r>
      <w:r w:rsidRPr="000C1ED5">
        <w:rPr>
          <w:i/>
        </w:rPr>
        <w:t xml:space="preserve">Collaborazione </w:t>
      </w:r>
      <w:proofErr w:type="spellStart"/>
      <w:r w:rsidRPr="000C1ED5">
        <w:rPr>
          <w:i/>
        </w:rPr>
        <w:t>multiprofessionale</w:t>
      </w:r>
      <w:proofErr w:type="spellEnd"/>
      <w:r w:rsidRPr="000C1ED5">
        <w:t xml:space="preserve"> e della </w:t>
      </w:r>
      <w:r w:rsidRPr="000C1ED5">
        <w:rPr>
          <w:i/>
        </w:rPr>
        <w:t>Formazione continua</w:t>
      </w:r>
      <w:r w:rsidRPr="000C1ED5">
        <w:t xml:space="preserve"> sono trasversali agli altri Ambiti, mentre l’Ambito delle </w:t>
      </w:r>
      <w:r w:rsidRPr="000C1ED5">
        <w:rPr>
          <w:i/>
        </w:rPr>
        <w:t>Richieste di Cura NON urgenti</w:t>
      </w:r>
      <w:r w:rsidRPr="000C1ED5">
        <w:t xml:space="preserve"> merita una trattazione a sé stante.</w:t>
      </w:r>
    </w:p>
    <w:p w14:paraId="0CA22E17" w14:textId="25233BB8" w:rsidR="00F54EF8" w:rsidRDefault="000C1ED5" w:rsidP="001E3C08">
      <w:pPr>
        <w:spacing w:line="240" w:lineRule="auto"/>
        <w:jc w:val="both"/>
        <w:rPr>
          <w:rFonts w:asciiTheme="minorHAnsi" w:eastAsia="Times New Roman" w:hAnsiTheme="minorHAnsi" w:cstheme="minorHAnsi"/>
          <w:bCs/>
          <w:color w:val="000000" w:themeColor="text1"/>
          <w:kern w:val="0"/>
          <w:lang w:eastAsia="it-IT"/>
        </w:rPr>
      </w:pPr>
      <w:r>
        <w:rPr>
          <w:rFonts w:asciiTheme="minorHAnsi" w:eastAsia="Times New Roman" w:hAnsiTheme="minorHAnsi" w:cstheme="minorHAnsi"/>
          <w:bCs/>
          <w:color w:val="000000" w:themeColor="text1"/>
          <w:kern w:val="0"/>
          <w:lang w:eastAsia="it-IT"/>
        </w:rPr>
        <w:t xml:space="preserve">Segue </w:t>
      </w:r>
      <w:r w:rsidR="00F54EF8">
        <w:rPr>
          <w:rFonts w:asciiTheme="minorHAnsi" w:eastAsia="Times New Roman" w:hAnsiTheme="minorHAnsi" w:cstheme="minorHAnsi"/>
          <w:bCs/>
          <w:color w:val="000000" w:themeColor="text1"/>
          <w:kern w:val="0"/>
          <w:lang w:eastAsia="it-IT"/>
        </w:rPr>
        <w:t>l’illustrazione delle singole Progettualità/Attività</w:t>
      </w:r>
      <w:r w:rsidR="0011507E">
        <w:rPr>
          <w:rFonts w:asciiTheme="minorHAnsi" w:eastAsia="Times New Roman" w:hAnsiTheme="minorHAnsi" w:cstheme="minorHAnsi"/>
          <w:bCs/>
          <w:color w:val="000000" w:themeColor="text1"/>
          <w:kern w:val="0"/>
          <w:lang w:eastAsia="it-IT"/>
        </w:rPr>
        <w:t>.</w:t>
      </w:r>
      <w:r w:rsidR="0016362A">
        <w:rPr>
          <w:rFonts w:asciiTheme="minorHAnsi" w:eastAsia="Times New Roman" w:hAnsiTheme="minorHAnsi" w:cstheme="minorHAnsi"/>
          <w:bCs/>
          <w:color w:val="000000" w:themeColor="text1"/>
          <w:kern w:val="0"/>
          <w:lang w:eastAsia="it-IT"/>
        </w:rPr>
        <w:t xml:space="preserve"> Tutti gli importi indicati si intendono oneri esclusi, salvo differenti precisazioni.</w:t>
      </w:r>
    </w:p>
    <w:p w14:paraId="7FD6497F" w14:textId="57E4AC4C" w:rsidR="007E438C" w:rsidRPr="007E438C" w:rsidRDefault="00F54EF8" w:rsidP="001E3C08">
      <w:pPr>
        <w:spacing w:line="240" w:lineRule="auto"/>
        <w:jc w:val="both"/>
        <w:rPr>
          <w:rFonts w:asciiTheme="minorHAnsi" w:eastAsia="Times New Roman" w:hAnsiTheme="minorHAnsi" w:cstheme="minorHAnsi"/>
          <w:bCs/>
          <w:color w:val="000000" w:themeColor="text1"/>
          <w:kern w:val="0"/>
          <w:lang w:eastAsia="it-IT"/>
        </w:rPr>
      </w:pPr>
      <w:r w:rsidRPr="00F54EF8">
        <w:rPr>
          <w:rFonts w:asciiTheme="minorHAnsi" w:eastAsia="Times New Roman" w:hAnsiTheme="minorHAnsi" w:cstheme="minorHAnsi"/>
          <w:b/>
          <w:bCs/>
          <w:i/>
          <w:color w:val="000000" w:themeColor="text1"/>
          <w:kern w:val="0"/>
          <w:lang w:eastAsia="it-IT"/>
        </w:rPr>
        <w:t>Prevenzione della Patologia Influenzale</w:t>
      </w:r>
    </w:p>
    <w:p w14:paraId="1E3694EC" w14:textId="3531E1AD" w:rsidR="001E3C08" w:rsidRDefault="00F54EF8" w:rsidP="001E3C08">
      <w:pPr>
        <w:spacing w:line="240" w:lineRule="auto"/>
        <w:jc w:val="both"/>
        <w:rPr>
          <w:rFonts w:asciiTheme="minorHAnsi" w:eastAsia="Times New Roman" w:hAnsiTheme="minorHAnsi" w:cstheme="minorHAnsi"/>
          <w:bCs/>
          <w:color w:val="000000" w:themeColor="text1"/>
          <w:kern w:val="0"/>
          <w:lang w:eastAsia="it-IT"/>
        </w:rPr>
      </w:pPr>
      <w:r>
        <w:rPr>
          <w:rFonts w:asciiTheme="minorHAnsi" w:eastAsia="Times New Roman" w:hAnsiTheme="minorHAnsi" w:cstheme="minorHAnsi"/>
          <w:bCs/>
          <w:color w:val="000000" w:themeColor="text1"/>
          <w:kern w:val="0"/>
          <w:lang w:eastAsia="it-IT"/>
        </w:rPr>
        <w:t>Tale Progettualità prevede l’impegno dei Medici di Assistenza Primaria in tre filoni di attività:</w:t>
      </w:r>
    </w:p>
    <w:p w14:paraId="6401D414" w14:textId="646A1284" w:rsidR="00F54EF8" w:rsidRPr="0097055E" w:rsidRDefault="00F54EF8" w:rsidP="0067743C">
      <w:pPr>
        <w:pStyle w:val="Paragrafoelenco"/>
        <w:numPr>
          <w:ilvl w:val="0"/>
          <w:numId w:val="10"/>
        </w:numPr>
        <w:spacing w:line="240" w:lineRule="auto"/>
        <w:jc w:val="both"/>
        <w:rPr>
          <w:rFonts w:eastAsia="Times New Roman" w:cstheme="minorHAnsi"/>
          <w:bCs/>
          <w:color w:val="000000" w:themeColor="text1"/>
          <w:kern w:val="0"/>
          <w:u w:val="single"/>
          <w:lang w:eastAsia="it-IT"/>
        </w:rPr>
      </w:pPr>
      <w:r w:rsidRPr="0097055E">
        <w:rPr>
          <w:rFonts w:eastAsia="Times New Roman" w:cstheme="minorHAnsi"/>
          <w:bCs/>
          <w:color w:val="000000" w:themeColor="text1"/>
          <w:kern w:val="0"/>
          <w:u w:val="single"/>
          <w:lang w:eastAsia="it-IT"/>
        </w:rPr>
        <w:t>Partecipazione attiva alla campagna vaccinale antinfluenzale 2025-2026</w:t>
      </w:r>
    </w:p>
    <w:p w14:paraId="5455457E" w14:textId="47997BBF" w:rsidR="00F54EF8" w:rsidRPr="0097055E" w:rsidRDefault="00F54EF8" w:rsidP="0067743C">
      <w:pPr>
        <w:pStyle w:val="Paragrafoelenco"/>
        <w:numPr>
          <w:ilvl w:val="0"/>
          <w:numId w:val="10"/>
        </w:numPr>
        <w:spacing w:line="240" w:lineRule="auto"/>
        <w:jc w:val="both"/>
        <w:rPr>
          <w:rFonts w:eastAsia="Times New Roman" w:cstheme="minorHAnsi"/>
          <w:bCs/>
          <w:color w:val="000000" w:themeColor="text1"/>
          <w:kern w:val="0"/>
          <w:u w:val="single"/>
          <w:lang w:eastAsia="it-IT"/>
        </w:rPr>
      </w:pPr>
      <w:r w:rsidRPr="0097055E">
        <w:rPr>
          <w:rFonts w:eastAsia="Times New Roman" w:cstheme="minorHAnsi"/>
          <w:bCs/>
          <w:color w:val="000000" w:themeColor="text1"/>
          <w:kern w:val="0"/>
          <w:u w:val="single"/>
          <w:lang w:eastAsia="it-IT"/>
        </w:rPr>
        <w:t xml:space="preserve">Partecipazione attiva all’attività di </w:t>
      </w:r>
      <w:proofErr w:type="spellStart"/>
      <w:r w:rsidRPr="0097055E">
        <w:rPr>
          <w:rFonts w:eastAsia="Times New Roman" w:cstheme="minorHAnsi"/>
          <w:bCs/>
          <w:color w:val="000000" w:themeColor="text1"/>
          <w:kern w:val="0"/>
          <w:u w:val="single"/>
          <w:lang w:eastAsia="it-IT"/>
        </w:rPr>
        <w:t>testing</w:t>
      </w:r>
      <w:proofErr w:type="spellEnd"/>
      <w:r w:rsidRPr="0097055E">
        <w:rPr>
          <w:rFonts w:eastAsia="Times New Roman" w:cstheme="minorHAnsi"/>
          <w:bCs/>
          <w:color w:val="000000" w:themeColor="text1"/>
          <w:kern w:val="0"/>
          <w:u w:val="single"/>
          <w:lang w:eastAsia="it-IT"/>
        </w:rPr>
        <w:t xml:space="preserve"> per la diagnosi eziologica delle sindromi respiratorie su base virale</w:t>
      </w:r>
    </w:p>
    <w:p w14:paraId="07F11AB0" w14:textId="637E5B3C" w:rsidR="00F54EF8" w:rsidRDefault="0097055E" w:rsidP="0067743C">
      <w:pPr>
        <w:pStyle w:val="Paragrafoelenco"/>
        <w:numPr>
          <w:ilvl w:val="0"/>
          <w:numId w:val="10"/>
        </w:numPr>
        <w:spacing w:line="240" w:lineRule="auto"/>
        <w:jc w:val="both"/>
        <w:rPr>
          <w:rFonts w:eastAsia="Times New Roman" w:cstheme="minorHAnsi"/>
          <w:bCs/>
          <w:color w:val="000000" w:themeColor="text1"/>
          <w:kern w:val="0"/>
          <w:u w:val="single"/>
          <w:lang w:eastAsia="it-IT"/>
        </w:rPr>
      </w:pPr>
      <w:r w:rsidRPr="0097055E">
        <w:rPr>
          <w:rFonts w:eastAsia="Times New Roman" w:cstheme="minorHAnsi"/>
          <w:bCs/>
          <w:color w:val="000000" w:themeColor="text1"/>
          <w:kern w:val="0"/>
          <w:u w:val="single"/>
          <w:lang w:eastAsia="it-IT"/>
        </w:rPr>
        <w:t>Assistenza medica negli Hot-Spot Infettivologici</w:t>
      </w:r>
    </w:p>
    <w:p w14:paraId="67F3CD6B" w14:textId="694CCB8D" w:rsidR="0097055E" w:rsidRPr="0097055E" w:rsidRDefault="0097055E" w:rsidP="0067743C">
      <w:pPr>
        <w:pStyle w:val="paragraph"/>
        <w:numPr>
          <w:ilvl w:val="0"/>
          <w:numId w:val="11"/>
        </w:numPr>
        <w:spacing w:beforeAutospacing="0" w:after="0" w:afterAutospacing="0"/>
        <w:jc w:val="both"/>
        <w:textAlignment w:val="baseline"/>
        <w:rPr>
          <w:rFonts w:asciiTheme="minorHAnsi" w:hAnsiTheme="minorHAnsi" w:cstheme="minorHAnsi"/>
          <w:bCs/>
          <w:color w:val="000000" w:themeColor="text1"/>
          <w:sz w:val="22"/>
          <w:szCs w:val="22"/>
          <w:u w:val="single"/>
          <w14:ligatures w14:val="standardContextual"/>
        </w:rPr>
      </w:pPr>
      <w:r w:rsidRPr="0097055E">
        <w:rPr>
          <w:rFonts w:asciiTheme="minorHAnsi" w:hAnsiTheme="minorHAnsi" w:cstheme="minorHAnsi"/>
          <w:bCs/>
          <w:color w:val="000000" w:themeColor="text1"/>
          <w:sz w:val="22"/>
          <w:szCs w:val="22"/>
          <w:u w:val="single"/>
          <w14:ligatures w14:val="standardContextual"/>
        </w:rPr>
        <w:t>Partecipazione attiva alla campagna vaccinale antinfluenzale 2025-2026</w:t>
      </w:r>
      <w:r>
        <w:rPr>
          <w:rFonts w:asciiTheme="minorHAnsi" w:hAnsiTheme="minorHAnsi" w:cstheme="minorHAnsi"/>
          <w:bCs/>
          <w:color w:val="000000" w:themeColor="text1"/>
          <w:sz w:val="22"/>
          <w:szCs w:val="22"/>
          <w:u w:val="single"/>
          <w14:ligatures w14:val="standardContextual"/>
        </w:rPr>
        <w:t xml:space="preserve"> </w:t>
      </w:r>
      <w:r w:rsidRPr="0097055E">
        <w:rPr>
          <w:rFonts w:asciiTheme="minorHAnsi" w:hAnsiTheme="minorHAnsi" w:cstheme="minorHAnsi"/>
          <w:bCs/>
          <w:color w:val="000000" w:themeColor="text1"/>
          <w:sz w:val="22"/>
          <w:szCs w:val="22"/>
          <w:u w:val="single"/>
          <w14:ligatures w14:val="standardContextual"/>
        </w:rPr>
        <w:t xml:space="preserve">(in ambulatorio e al domicilio con la presa in carico di tutti i pazienti non deambulanti) </w:t>
      </w:r>
    </w:p>
    <w:p w14:paraId="36709EB6" w14:textId="77777777" w:rsidR="0097055E" w:rsidRDefault="0097055E" w:rsidP="0097055E">
      <w:pPr>
        <w:spacing w:after="0"/>
        <w:jc w:val="both"/>
        <w:rPr>
          <w:rFonts w:cs="Calibri"/>
        </w:rPr>
      </w:pPr>
    </w:p>
    <w:p w14:paraId="305471FE" w14:textId="056A0259" w:rsidR="0097055E" w:rsidRDefault="0097055E" w:rsidP="0097055E">
      <w:pPr>
        <w:spacing w:after="0"/>
        <w:jc w:val="both"/>
        <w:rPr>
          <w:rFonts w:cs="Calibri"/>
        </w:rPr>
      </w:pPr>
      <w:r>
        <w:rPr>
          <w:rFonts w:cs="Calibri"/>
        </w:rPr>
        <w:t>L’ottimo risultato raggiunto con la Campagna Vaccinale antinfluenzale 2024-2025 incoraggia circa la possibilità di porre</w:t>
      </w:r>
      <w:r w:rsidR="004D5F08">
        <w:rPr>
          <w:rFonts w:cs="Calibri"/>
        </w:rPr>
        <w:t>,</w:t>
      </w:r>
      <w:r>
        <w:rPr>
          <w:rFonts w:cs="Calibri"/>
        </w:rPr>
        <w:t xml:space="preserve"> quale obiettivo </w:t>
      </w:r>
      <w:r w:rsidR="004D5F08">
        <w:rPr>
          <w:rFonts w:cs="Calibri"/>
        </w:rPr>
        <w:t>di progetto, specifico indicatore di copertura vaccinale di popolazione target.</w:t>
      </w:r>
    </w:p>
    <w:p w14:paraId="042F698F" w14:textId="1A486C34" w:rsidR="004D5F08" w:rsidRPr="0016362A" w:rsidRDefault="004D5F08" w:rsidP="0097055E">
      <w:pPr>
        <w:spacing w:after="0"/>
        <w:jc w:val="both"/>
        <w:rPr>
          <w:rFonts w:cs="Calibri"/>
          <w:u w:val="single"/>
        </w:rPr>
      </w:pPr>
      <w:r w:rsidRPr="0016362A">
        <w:rPr>
          <w:rFonts w:cs="Calibri"/>
          <w:u w:val="single"/>
        </w:rPr>
        <w:t>La strategicità dell’obiettivo viene incentivata con fondi extra medicina convenzionata (Prevenzione).</w:t>
      </w:r>
    </w:p>
    <w:p w14:paraId="27ABB63F" w14:textId="0C3A9626" w:rsidR="004D5F08" w:rsidRPr="009A1D53" w:rsidRDefault="004D5F08" w:rsidP="004D5F08">
      <w:pPr>
        <w:spacing w:before="240" w:after="0"/>
        <w:jc w:val="both"/>
      </w:pPr>
      <w:r w:rsidRPr="009A1D53">
        <w:rPr>
          <w:rFonts w:cs="Calibri"/>
        </w:rPr>
        <w:t xml:space="preserve">La corresponsione </w:t>
      </w:r>
      <w:r>
        <w:rPr>
          <w:rFonts w:cs="Calibri"/>
        </w:rPr>
        <w:t xml:space="preserve">della </w:t>
      </w:r>
      <w:proofErr w:type="spellStart"/>
      <w:r>
        <w:rPr>
          <w:rFonts w:cs="Calibri"/>
        </w:rPr>
        <w:t>premialità</w:t>
      </w:r>
      <w:proofErr w:type="spellEnd"/>
      <w:r w:rsidRPr="009A1D53">
        <w:rPr>
          <w:rFonts w:cs="Calibri"/>
        </w:rPr>
        <w:t xml:space="preserve"> è prevista in ragione del contributo che la Medicina Generale assicura ai fini del </w:t>
      </w:r>
      <w:r w:rsidRPr="009A1D53">
        <w:rPr>
          <w:rFonts w:cs="Calibri"/>
          <w:color w:val="000000" w:themeColor="text1"/>
        </w:rPr>
        <w:t xml:space="preserve">raggiungimento degli obiettivi di copertura vaccinale posti per la popolazione destinataria della ASST, attraverso la partecipazione all’attività del </w:t>
      </w:r>
      <w:r w:rsidRPr="009A1D53">
        <w:rPr>
          <w:rFonts w:cs="Calibri"/>
        </w:rPr>
        <w:t>singolo Medico, delle F</w:t>
      </w:r>
      <w:r>
        <w:rPr>
          <w:rFonts w:cs="Calibri"/>
        </w:rPr>
        <w:t xml:space="preserve">orme </w:t>
      </w:r>
      <w:r w:rsidRPr="009A1D53">
        <w:rPr>
          <w:rFonts w:cs="Calibri"/>
        </w:rPr>
        <w:t>A</w:t>
      </w:r>
      <w:r>
        <w:rPr>
          <w:rFonts w:cs="Calibri"/>
        </w:rPr>
        <w:t xml:space="preserve">ssociative </w:t>
      </w:r>
      <w:r w:rsidRPr="009A1D53">
        <w:rPr>
          <w:rFonts w:cs="Calibri"/>
        </w:rPr>
        <w:t>A</w:t>
      </w:r>
      <w:r>
        <w:rPr>
          <w:rFonts w:cs="Calibri"/>
        </w:rPr>
        <w:t>vanzate (FAA)</w:t>
      </w:r>
      <w:r w:rsidRPr="009A1D53">
        <w:rPr>
          <w:rFonts w:cs="Calibri"/>
        </w:rPr>
        <w:t xml:space="preserve"> e delle A</w:t>
      </w:r>
      <w:r>
        <w:rPr>
          <w:rFonts w:cs="Calibri"/>
        </w:rPr>
        <w:t>ggregazioni Funzionali Territoriali (A</w:t>
      </w:r>
      <w:r w:rsidRPr="009A1D53">
        <w:rPr>
          <w:rFonts w:cs="Calibri"/>
        </w:rPr>
        <w:t>FT</w:t>
      </w:r>
      <w:r>
        <w:rPr>
          <w:rFonts w:cs="Calibri"/>
        </w:rPr>
        <w:t>)</w:t>
      </w:r>
      <w:r w:rsidR="00A82AF5">
        <w:rPr>
          <w:rFonts w:cs="Calibri"/>
        </w:rPr>
        <w:t>. L’</w:t>
      </w:r>
      <w:r w:rsidRPr="009A1D53">
        <w:rPr>
          <w:rFonts w:cs="Calibri"/>
          <w:color w:val="000000" w:themeColor="text1"/>
        </w:rPr>
        <w:t xml:space="preserve">adesione del medico alla progettualità comporta la vaccinazione al domicilio di tutti gli assistiti </w:t>
      </w:r>
      <w:r w:rsidRPr="009A1D53">
        <w:rPr>
          <w:rFonts w:cs="Calibri"/>
        </w:rPr>
        <w:t xml:space="preserve">target individuati dal </w:t>
      </w:r>
      <w:r w:rsidR="00835A7F">
        <w:rPr>
          <w:rFonts w:cs="Calibri"/>
        </w:rPr>
        <w:t>Medico</w:t>
      </w:r>
      <w:r w:rsidRPr="009A1D53">
        <w:rPr>
          <w:rFonts w:cs="Calibri"/>
        </w:rPr>
        <w:t xml:space="preserve"> come non </w:t>
      </w:r>
      <w:r w:rsidRPr="009A1D53">
        <w:rPr>
          <w:rFonts w:cs="Calibri"/>
          <w:color w:val="000000" w:themeColor="text1"/>
        </w:rPr>
        <w:t xml:space="preserve">trasportabili per patologia/condizione </w:t>
      </w:r>
      <w:r w:rsidRPr="009A1D53">
        <w:rPr>
          <w:rFonts w:cs="Calibri"/>
        </w:rPr>
        <w:t xml:space="preserve">che accettino di sottoporsi alle vaccinazioni proposte.  </w:t>
      </w:r>
    </w:p>
    <w:p w14:paraId="66DA1A98" w14:textId="23E684DE" w:rsidR="004D5F08" w:rsidRDefault="004D5F08" w:rsidP="004D5F08">
      <w:pPr>
        <w:spacing w:after="0"/>
        <w:jc w:val="both"/>
        <w:rPr>
          <w:rFonts w:cs="Calibri"/>
        </w:rPr>
      </w:pPr>
    </w:p>
    <w:p w14:paraId="4F251999" w14:textId="3D37C204" w:rsidR="00835A7F" w:rsidRPr="009A1D53" w:rsidRDefault="00835A7F" w:rsidP="00835A7F">
      <w:pPr>
        <w:pStyle w:val="NormaleWeb"/>
        <w:spacing w:beforeAutospacing="0" w:after="0" w:afterAutospacing="0"/>
        <w:jc w:val="both"/>
        <w:rPr>
          <w:rFonts w:asciiTheme="minorHAnsi" w:hAnsiTheme="minorHAnsi" w:cstheme="minorHAnsi"/>
          <w:kern w:val="24"/>
          <w:sz w:val="22"/>
          <w:szCs w:val="22"/>
        </w:rPr>
      </w:pPr>
      <w:r w:rsidRPr="009A1D53">
        <w:rPr>
          <w:rFonts w:asciiTheme="minorHAnsi" w:hAnsiTheme="minorHAnsi" w:cstheme="minorHAnsi"/>
          <w:bCs/>
          <w:sz w:val="22"/>
          <w:szCs w:val="22"/>
        </w:rPr>
        <w:t xml:space="preserve">La corresponsione della </w:t>
      </w:r>
      <w:proofErr w:type="spellStart"/>
      <w:r>
        <w:rPr>
          <w:rFonts w:asciiTheme="minorHAnsi" w:hAnsiTheme="minorHAnsi" w:cstheme="minorHAnsi"/>
          <w:bCs/>
          <w:sz w:val="22"/>
          <w:szCs w:val="22"/>
        </w:rPr>
        <w:t>premialità</w:t>
      </w:r>
      <w:proofErr w:type="spellEnd"/>
      <w:r w:rsidRPr="009A1D53">
        <w:rPr>
          <w:rFonts w:asciiTheme="minorHAnsi" w:hAnsiTheme="minorHAnsi" w:cstheme="minorHAnsi"/>
          <w:bCs/>
          <w:sz w:val="22"/>
          <w:szCs w:val="22"/>
        </w:rPr>
        <w:t xml:space="preserve"> sarà così articolata:</w:t>
      </w:r>
    </w:p>
    <w:tbl>
      <w:tblPr>
        <w:tblStyle w:val="Tabellagriglia1chiara-colore6"/>
        <w:tblW w:w="10632" w:type="dxa"/>
        <w:jc w:val="center"/>
        <w:tblLook w:val="04A0" w:firstRow="1" w:lastRow="0" w:firstColumn="1" w:lastColumn="0" w:noHBand="0" w:noVBand="1"/>
      </w:tblPr>
      <w:tblGrid>
        <w:gridCol w:w="3425"/>
        <w:gridCol w:w="1740"/>
        <w:gridCol w:w="5467"/>
      </w:tblGrid>
      <w:tr w:rsidR="00835A7F" w:rsidRPr="009A1D53" w14:paraId="0B790AFC" w14:textId="77777777" w:rsidTr="009F1F3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25" w:type="dxa"/>
          </w:tcPr>
          <w:p w14:paraId="5D53EEA1" w14:textId="77777777" w:rsidR="00835A7F" w:rsidRPr="009A1D53" w:rsidRDefault="00835A7F" w:rsidP="009F1F3B">
            <w:pPr>
              <w:pStyle w:val="NormaleWeb"/>
              <w:spacing w:beforeAutospacing="0" w:afterAutospacing="0"/>
              <w:jc w:val="both"/>
              <w:rPr>
                <w:rFonts w:asciiTheme="minorHAnsi" w:hAnsiTheme="minorHAnsi" w:cstheme="minorHAnsi"/>
                <w:bCs w:val="0"/>
                <w:color w:val="000000" w:themeColor="text1"/>
                <w:sz w:val="22"/>
                <w:szCs w:val="22"/>
              </w:rPr>
            </w:pPr>
            <w:r w:rsidRPr="009A1D53">
              <w:rPr>
                <w:rFonts w:asciiTheme="minorHAnsi" w:hAnsiTheme="minorHAnsi" w:cstheme="minorHAnsi"/>
                <w:bCs w:val="0"/>
                <w:color w:val="000000" w:themeColor="text1"/>
                <w:sz w:val="22"/>
                <w:szCs w:val="22"/>
              </w:rPr>
              <w:t>Attività</w:t>
            </w:r>
          </w:p>
        </w:tc>
        <w:tc>
          <w:tcPr>
            <w:tcW w:w="1740" w:type="dxa"/>
          </w:tcPr>
          <w:p w14:paraId="77F66D7A" w14:textId="66255264" w:rsidR="00835A7F" w:rsidRPr="009A1D53" w:rsidRDefault="00835A7F" w:rsidP="00835A7F">
            <w:pPr>
              <w:pStyle w:val="NormaleWeb"/>
              <w:spacing w:beforeAutospacing="0" w:afterAutospacing="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sz w:val="22"/>
                <w:szCs w:val="22"/>
              </w:rPr>
            </w:pPr>
            <w:r w:rsidRPr="009A1D53">
              <w:rPr>
                <w:rFonts w:asciiTheme="minorHAnsi" w:hAnsiTheme="minorHAnsi" w:cstheme="minorHAnsi"/>
                <w:bCs w:val="0"/>
                <w:color w:val="000000" w:themeColor="text1"/>
                <w:sz w:val="22"/>
                <w:szCs w:val="22"/>
              </w:rPr>
              <w:t xml:space="preserve">% Quota di </w:t>
            </w:r>
            <w:proofErr w:type="spellStart"/>
            <w:r>
              <w:rPr>
                <w:rFonts w:asciiTheme="minorHAnsi" w:hAnsiTheme="minorHAnsi" w:cstheme="minorHAnsi"/>
                <w:bCs w:val="0"/>
                <w:color w:val="000000" w:themeColor="text1"/>
                <w:sz w:val="22"/>
                <w:szCs w:val="22"/>
              </w:rPr>
              <w:t>premialità</w:t>
            </w:r>
            <w:proofErr w:type="spellEnd"/>
          </w:p>
        </w:tc>
        <w:tc>
          <w:tcPr>
            <w:tcW w:w="5467" w:type="dxa"/>
          </w:tcPr>
          <w:p w14:paraId="43D2DD1A" w14:textId="77777777" w:rsidR="00835A7F" w:rsidRPr="009A1D53" w:rsidRDefault="00835A7F" w:rsidP="009F1F3B">
            <w:pPr>
              <w:pStyle w:val="NormaleWeb"/>
              <w:spacing w:beforeAutospacing="0" w:afterAutospacing="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sz w:val="22"/>
                <w:szCs w:val="22"/>
              </w:rPr>
            </w:pPr>
            <w:r w:rsidRPr="009A1D53">
              <w:rPr>
                <w:rFonts w:asciiTheme="minorHAnsi" w:hAnsiTheme="minorHAnsi" w:cstheme="minorHAnsi"/>
                <w:bCs w:val="0"/>
                <w:color w:val="000000" w:themeColor="text1"/>
                <w:sz w:val="22"/>
                <w:szCs w:val="22"/>
              </w:rPr>
              <w:t>Area di risultato per il singolo MMG</w:t>
            </w:r>
          </w:p>
        </w:tc>
      </w:tr>
      <w:tr w:rsidR="00835A7F" w:rsidRPr="009A1D53" w14:paraId="24B7BA95" w14:textId="77777777" w:rsidTr="009F1F3B">
        <w:trPr>
          <w:jc w:val="center"/>
        </w:trPr>
        <w:tc>
          <w:tcPr>
            <w:cnfStyle w:val="001000000000" w:firstRow="0" w:lastRow="0" w:firstColumn="1" w:lastColumn="0" w:oddVBand="0" w:evenVBand="0" w:oddHBand="0" w:evenHBand="0" w:firstRowFirstColumn="0" w:firstRowLastColumn="0" w:lastRowFirstColumn="0" w:lastRowLastColumn="0"/>
            <w:tcW w:w="3425" w:type="dxa"/>
            <w:vMerge w:val="restart"/>
          </w:tcPr>
          <w:p w14:paraId="3DA72589" w14:textId="5B2B8C04" w:rsidR="00835A7F" w:rsidRPr="009A1D53" w:rsidRDefault="00835A7F" w:rsidP="009F1F3B">
            <w:pPr>
              <w:pStyle w:val="NormaleWeb"/>
              <w:spacing w:beforeAutospacing="0" w:afterAutospacing="0"/>
              <w:jc w:val="both"/>
              <w:rPr>
                <w:rFonts w:asciiTheme="minorHAnsi" w:hAnsiTheme="minorHAnsi" w:cstheme="minorHAnsi"/>
                <w:b w:val="0"/>
                <w:bCs w:val="0"/>
                <w:color w:val="000000" w:themeColor="text1"/>
                <w:sz w:val="22"/>
                <w:szCs w:val="22"/>
              </w:rPr>
            </w:pPr>
            <w:r w:rsidRPr="009A1D53">
              <w:rPr>
                <w:rFonts w:asciiTheme="minorHAnsi" w:hAnsiTheme="minorHAnsi" w:cstheme="minorHAnsi"/>
                <w:b w:val="0"/>
                <w:bCs w:val="0"/>
                <w:color w:val="000000" w:themeColor="text1"/>
                <w:sz w:val="22"/>
                <w:szCs w:val="22"/>
              </w:rPr>
              <w:t xml:space="preserve">Adesione alla campagna di </w:t>
            </w:r>
            <w:r>
              <w:rPr>
                <w:rFonts w:asciiTheme="minorHAnsi" w:hAnsiTheme="minorHAnsi" w:cstheme="minorHAnsi"/>
                <w:b w:val="0"/>
                <w:bCs w:val="0"/>
                <w:color w:val="000000" w:themeColor="text1"/>
                <w:sz w:val="22"/>
                <w:szCs w:val="22"/>
              </w:rPr>
              <w:t>vaccinazione Antinfluenzale 2025-2026</w:t>
            </w:r>
          </w:p>
        </w:tc>
        <w:tc>
          <w:tcPr>
            <w:tcW w:w="1740" w:type="dxa"/>
          </w:tcPr>
          <w:p w14:paraId="5057D741" w14:textId="77777777" w:rsidR="00835A7F" w:rsidRPr="009A1D53" w:rsidRDefault="00835A7F" w:rsidP="009F1F3B">
            <w:pPr>
              <w:pStyle w:val="NormaleWeb"/>
              <w:spacing w:beforeAutospacing="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szCs w:val="22"/>
              </w:rPr>
            </w:pPr>
            <w:r w:rsidRPr="009A1D53">
              <w:rPr>
                <w:rFonts w:asciiTheme="minorHAnsi" w:hAnsiTheme="minorHAnsi" w:cstheme="minorHAnsi"/>
                <w:bCs/>
                <w:color w:val="000000" w:themeColor="text1"/>
                <w:sz w:val="22"/>
                <w:szCs w:val="22"/>
              </w:rPr>
              <w:t>50</w:t>
            </w:r>
          </w:p>
        </w:tc>
        <w:tc>
          <w:tcPr>
            <w:tcW w:w="5467" w:type="dxa"/>
          </w:tcPr>
          <w:p w14:paraId="54E9B453" w14:textId="77777777" w:rsidR="00835A7F" w:rsidRPr="009A1D53" w:rsidRDefault="00835A7F" w:rsidP="009F1F3B">
            <w:pPr>
              <w:pStyle w:val="NormaleWeb"/>
              <w:spacing w:beforeAutospacing="0" w:afterAutospacing="0"/>
              <w:jc w:val="both"/>
              <w:cnfStyle w:val="000000000000" w:firstRow="0" w:lastRow="0" w:firstColumn="0" w:lastColumn="0" w:oddVBand="0" w:evenVBand="0" w:oddHBand="0" w:evenHBand="0" w:firstRowFirstColumn="0" w:firstRowLastColumn="0" w:lastRowFirstColumn="0" w:lastRowLastColumn="0"/>
            </w:pPr>
            <w:r w:rsidRPr="009A1D53">
              <w:rPr>
                <w:rFonts w:ascii="Calibri" w:eastAsia="Calibri" w:hAnsi="Calibri" w:cs="Calibri"/>
                <w:sz w:val="22"/>
                <w:szCs w:val="22"/>
              </w:rPr>
              <w:t>Compilazione ed invio al Dipartimento Cure Primarie del format di ADESIONE alla campagna vaccinale</w:t>
            </w:r>
          </w:p>
        </w:tc>
      </w:tr>
      <w:tr w:rsidR="00835A7F" w:rsidRPr="009A1D53" w14:paraId="02EE7970" w14:textId="77777777" w:rsidTr="009F1F3B">
        <w:trPr>
          <w:jc w:val="center"/>
        </w:trPr>
        <w:tc>
          <w:tcPr>
            <w:cnfStyle w:val="001000000000" w:firstRow="0" w:lastRow="0" w:firstColumn="1" w:lastColumn="0" w:oddVBand="0" w:evenVBand="0" w:oddHBand="0" w:evenHBand="0" w:firstRowFirstColumn="0" w:firstRowLastColumn="0" w:lastRowFirstColumn="0" w:lastRowLastColumn="0"/>
            <w:tcW w:w="3425" w:type="dxa"/>
            <w:vMerge/>
          </w:tcPr>
          <w:p w14:paraId="377DA538" w14:textId="77777777" w:rsidR="00835A7F" w:rsidRPr="009A1D53" w:rsidRDefault="00835A7F" w:rsidP="009F1F3B">
            <w:pPr>
              <w:pStyle w:val="NormaleWeb"/>
              <w:spacing w:beforeAutospacing="0" w:afterAutospacing="0"/>
              <w:jc w:val="both"/>
              <w:rPr>
                <w:rFonts w:asciiTheme="minorHAnsi" w:hAnsiTheme="minorHAnsi" w:cstheme="minorBidi"/>
                <w:b w:val="0"/>
                <w:bCs w:val="0"/>
                <w:strike/>
                <w:color w:val="000000" w:themeColor="text1"/>
                <w:sz w:val="22"/>
                <w:szCs w:val="22"/>
              </w:rPr>
            </w:pPr>
          </w:p>
        </w:tc>
        <w:tc>
          <w:tcPr>
            <w:tcW w:w="1740" w:type="dxa"/>
          </w:tcPr>
          <w:p w14:paraId="6A382CEF" w14:textId="77777777" w:rsidR="00835A7F" w:rsidRPr="009A1D53" w:rsidRDefault="00835A7F" w:rsidP="009F1F3B">
            <w:pPr>
              <w:pStyle w:val="NormaleWeb"/>
              <w:spacing w:beforeAutospacing="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szCs w:val="22"/>
              </w:rPr>
            </w:pPr>
            <w:r w:rsidRPr="009A1D53">
              <w:rPr>
                <w:rFonts w:asciiTheme="minorHAnsi" w:hAnsiTheme="minorHAnsi" w:cstheme="minorHAnsi"/>
                <w:bCs/>
                <w:color w:val="000000" w:themeColor="text1"/>
                <w:sz w:val="22"/>
                <w:szCs w:val="22"/>
              </w:rPr>
              <w:t>50</w:t>
            </w:r>
          </w:p>
        </w:tc>
        <w:tc>
          <w:tcPr>
            <w:tcW w:w="5467" w:type="dxa"/>
          </w:tcPr>
          <w:p w14:paraId="0820B3A1" w14:textId="7370D5B5" w:rsidR="00835A7F" w:rsidRPr="009A1D53" w:rsidRDefault="00835A7F" w:rsidP="009F1F3B">
            <w:pPr>
              <w:spacing w:before="240" w:after="240"/>
              <w:contextualSpacing/>
              <w:jc w:val="both"/>
              <w:cnfStyle w:val="000000000000" w:firstRow="0" w:lastRow="0" w:firstColumn="0" w:lastColumn="0" w:oddVBand="0" w:evenVBand="0" w:oddHBand="0" w:evenHBand="0" w:firstRowFirstColumn="0" w:firstRowLastColumn="0" w:lastRowFirstColumn="0" w:lastRowLastColumn="0"/>
              <w:rPr>
                <w:rFonts w:cs="Calibri"/>
              </w:rPr>
            </w:pPr>
            <w:r w:rsidRPr="009A1D53">
              <w:rPr>
                <w:rFonts w:cs="Calibri"/>
              </w:rPr>
              <w:t>Completamento, entro il 28 febbraio 202</w:t>
            </w:r>
            <w:r>
              <w:rPr>
                <w:rFonts w:cs="Calibri"/>
              </w:rPr>
              <w:t>6</w:t>
            </w:r>
            <w:r w:rsidRPr="009A1D53">
              <w:rPr>
                <w:rFonts w:cs="Calibri"/>
              </w:rPr>
              <w:t xml:space="preserve">, della registrazione in ARVAX delle vaccinazioni </w:t>
            </w:r>
            <w:r w:rsidR="00A82AF5">
              <w:rPr>
                <w:rFonts w:cs="Calibri"/>
              </w:rPr>
              <w:t>antinfluenzale/ anti Pneumococco/</w:t>
            </w:r>
            <w:r>
              <w:rPr>
                <w:rFonts w:cs="Calibri"/>
              </w:rPr>
              <w:t>anti Covi</w:t>
            </w:r>
            <w:r w:rsidR="00A82AF5">
              <w:rPr>
                <w:rFonts w:cs="Calibri"/>
              </w:rPr>
              <w:t>D-19</w:t>
            </w:r>
            <w:r>
              <w:rPr>
                <w:rFonts w:cs="Calibri"/>
              </w:rPr>
              <w:t xml:space="preserve"> </w:t>
            </w:r>
            <w:r w:rsidRPr="009A1D53">
              <w:rPr>
                <w:rFonts w:cs="Calibri"/>
              </w:rPr>
              <w:t>somministrate.</w:t>
            </w:r>
          </w:p>
          <w:p w14:paraId="6997E30E" w14:textId="6D890981" w:rsidR="00835A7F" w:rsidRPr="00A82AF5" w:rsidRDefault="00835A7F" w:rsidP="00A82AF5">
            <w:pPr>
              <w:jc w:val="both"/>
              <w:cnfStyle w:val="000000000000" w:firstRow="0" w:lastRow="0" w:firstColumn="0" w:lastColumn="0" w:oddVBand="0" w:evenVBand="0" w:oddHBand="0" w:evenHBand="0" w:firstRowFirstColumn="0" w:firstRowLastColumn="0" w:lastRowFirstColumn="0" w:lastRowLastColumn="0"/>
              <w:rPr>
                <w:rFonts w:cs="Calibri"/>
              </w:rPr>
            </w:pPr>
            <w:r w:rsidRPr="009A1D53">
              <w:rPr>
                <w:rFonts w:cs="Calibri"/>
              </w:rPr>
              <w:t>Registrazione di vaccinazioni i</w:t>
            </w:r>
            <w:r>
              <w:rPr>
                <w:rFonts w:cs="Calibri"/>
              </w:rPr>
              <w:t>n numero pari o superiore all’85</w:t>
            </w:r>
            <w:r w:rsidRPr="009A1D53">
              <w:rPr>
                <w:rFonts w:cs="Calibri"/>
              </w:rPr>
              <w:t>% delle dosi ritirate</w:t>
            </w:r>
            <w:r w:rsidR="00A82AF5">
              <w:rPr>
                <w:rFonts w:cs="Calibri"/>
              </w:rPr>
              <w:t xml:space="preserve"> presso le Farmacie di Comunità e raggiungimento copertura vaccinale (</w:t>
            </w:r>
            <w:r w:rsidR="00A82AF5" w:rsidRPr="00A82AF5">
              <w:rPr>
                <w:rFonts w:cs="Calibri"/>
                <w:b/>
              </w:rPr>
              <w:t>*</w:t>
            </w:r>
            <w:r w:rsidR="00A82AF5">
              <w:rPr>
                <w:rFonts w:cs="Calibri"/>
              </w:rPr>
              <w:t>) ≥ 75% negli assistiti con età ≥ 65 anni (coorte 1960 e precedenti)</w:t>
            </w:r>
          </w:p>
        </w:tc>
      </w:tr>
      <w:tr w:rsidR="00835A7F" w:rsidRPr="009A1D53" w14:paraId="7AFC5052" w14:textId="77777777" w:rsidTr="009F1F3B">
        <w:trPr>
          <w:jc w:val="center"/>
        </w:trPr>
        <w:tc>
          <w:tcPr>
            <w:cnfStyle w:val="001000000000" w:firstRow="0" w:lastRow="0" w:firstColumn="1" w:lastColumn="0" w:oddVBand="0" w:evenVBand="0" w:oddHBand="0" w:evenHBand="0" w:firstRowFirstColumn="0" w:firstRowLastColumn="0" w:lastRowFirstColumn="0" w:lastRowLastColumn="0"/>
            <w:tcW w:w="10632" w:type="dxa"/>
            <w:gridSpan w:val="3"/>
          </w:tcPr>
          <w:p w14:paraId="11B58001" w14:textId="77777777" w:rsidR="00835A7F" w:rsidRPr="009A1D53" w:rsidRDefault="00835A7F" w:rsidP="009F1F3B">
            <w:pPr>
              <w:pStyle w:val="NormaleWeb"/>
              <w:spacing w:beforeAutospacing="0" w:afterAutospacing="0"/>
              <w:contextualSpacing/>
              <w:jc w:val="both"/>
              <w:rPr>
                <w:rFonts w:asciiTheme="minorHAnsi" w:hAnsiTheme="minorHAnsi" w:cstheme="minorBidi"/>
                <w:sz w:val="22"/>
                <w:szCs w:val="22"/>
              </w:rPr>
            </w:pPr>
            <w:r w:rsidRPr="009A1D53">
              <w:rPr>
                <w:rFonts w:asciiTheme="minorHAnsi" w:hAnsiTheme="minorHAnsi" w:cstheme="minorBidi"/>
                <w:b w:val="0"/>
                <w:bCs w:val="0"/>
                <w:color w:val="000000" w:themeColor="text1"/>
                <w:sz w:val="22"/>
                <w:szCs w:val="22"/>
              </w:rPr>
              <w:lastRenderedPageBreak/>
              <w:t>Per l’erogazione delle prestazioni, la progettualità richiede l’applicazione di un modello organizzativo di gestione diretta dell’attività vaccinale del singolo MMG, in ambito di FAA/AFT o, in alternativa, di un modello di partecipazione della AFT all’attività gestita dal Centro Vaccinale (CV) di ASST.</w:t>
            </w:r>
          </w:p>
        </w:tc>
      </w:tr>
    </w:tbl>
    <w:p w14:paraId="5D83EF6B" w14:textId="77777777" w:rsidR="004D5F08" w:rsidRPr="009A1D53" w:rsidRDefault="004D5F08" w:rsidP="004D5F08">
      <w:pPr>
        <w:spacing w:after="0"/>
        <w:jc w:val="both"/>
        <w:rPr>
          <w:rFonts w:cs="Calibri"/>
        </w:rPr>
      </w:pPr>
    </w:p>
    <w:p w14:paraId="0578E63B" w14:textId="62EBBE9E" w:rsidR="00A82AF5" w:rsidRPr="00A82AF5" w:rsidRDefault="00A82AF5" w:rsidP="0097055E">
      <w:pPr>
        <w:pStyle w:val="paragraph"/>
        <w:spacing w:beforeAutospacing="0" w:after="0" w:afterAutospacing="0"/>
        <w:jc w:val="both"/>
        <w:rPr>
          <w:rFonts w:ascii="Calibri" w:eastAsia="Calibri" w:hAnsi="Calibri" w:cs="Calibri"/>
          <w:color w:val="000000" w:themeColor="text1"/>
          <w:sz w:val="22"/>
          <w:szCs w:val="22"/>
        </w:rPr>
      </w:pPr>
      <w:r w:rsidRPr="00A82AF5">
        <w:rPr>
          <w:rFonts w:ascii="Calibri" w:eastAsia="Calibri" w:hAnsi="Calibri" w:cs="Calibri"/>
          <w:color w:val="000000" w:themeColor="text1"/>
          <w:sz w:val="22"/>
          <w:szCs w:val="22"/>
        </w:rPr>
        <w:t>(</w:t>
      </w:r>
      <w:r w:rsidRPr="00A82AF5">
        <w:rPr>
          <w:rFonts w:ascii="Calibri" w:eastAsia="Calibri" w:hAnsi="Calibri" w:cs="Calibri"/>
          <w:b/>
          <w:color w:val="000000" w:themeColor="text1"/>
          <w:sz w:val="22"/>
          <w:szCs w:val="22"/>
        </w:rPr>
        <w:t>*</w:t>
      </w:r>
      <w:r w:rsidRPr="00A82AF5">
        <w:rPr>
          <w:rFonts w:ascii="Calibri" w:eastAsia="Calibri" w:hAnsi="Calibri" w:cs="Calibri"/>
          <w:color w:val="000000" w:themeColor="text1"/>
          <w:sz w:val="22"/>
          <w:szCs w:val="22"/>
        </w:rPr>
        <w:t>) Nel computo dell’obiettivo di copertura, al numeratore si devono ricomprendere tutti gli assistiti in carico al MAP vaccinati anche da Soggetti terzi, riconoscendo la pluralità di offerta esistente in Regione Lombardia e il ruolo di sensibilizzazione da parte del MAP</w:t>
      </w:r>
      <w:r>
        <w:rPr>
          <w:rFonts w:ascii="Calibri" w:eastAsia="Calibri" w:hAnsi="Calibri" w:cs="Calibri"/>
          <w:color w:val="000000" w:themeColor="text1"/>
          <w:sz w:val="22"/>
          <w:szCs w:val="22"/>
        </w:rPr>
        <w:t>.</w:t>
      </w:r>
    </w:p>
    <w:p w14:paraId="652A182B" w14:textId="77777777" w:rsidR="00A82AF5" w:rsidRDefault="00A82AF5" w:rsidP="0097055E">
      <w:pPr>
        <w:pStyle w:val="paragraph"/>
        <w:spacing w:beforeAutospacing="0" w:after="0" w:afterAutospacing="0"/>
        <w:jc w:val="both"/>
        <w:rPr>
          <w:rFonts w:ascii="Calibri" w:eastAsia="Calibri" w:hAnsi="Calibri" w:cs="Calibri"/>
          <w:color w:val="000000" w:themeColor="text1"/>
          <w:sz w:val="22"/>
          <w:szCs w:val="22"/>
        </w:rPr>
      </w:pPr>
    </w:p>
    <w:p w14:paraId="5268DDD9" w14:textId="69DA2FE3" w:rsidR="0097055E" w:rsidRPr="009A1D53" w:rsidRDefault="0097055E" w:rsidP="0097055E">
      <w:pPr>
        <w:pStyle w:val="paragraph"/>
        <w:spacing w:beforeAutospacing="0" w:after="0" w:afterAutospacing="0"/>
        <w:jc w:val="both"/>
        <w:rPr>
          <w:rFonts w:ascii="Calibri" w:eastAsia="Calibri" w:hAnsi="Calibri" w:cs="Calibri"/>
          <w:color w:val="000000" w:themeColor="text1"/>
          <w:sz w:val="22"/>
          <w:szCs w:val="22"/>
        </w:rPr>
      </w:pPr>
      <w:r w:rsidRPr="009A1D53">
        <w:rPr>
          <w:rFonts w:ascii="Calibri" w:eastAsia="Calibri" w:hAnsi="Calibri" w:cs="Calibri"/>
          <w:color w:val="000000" w:themeColor="text1"/>
          <w:sz w:val="22"/>
          <w:szCs w:val="22"/>
        </w:rPr>
        <w:t xml:space="preserve">Si richiama, ancorché NON da ricondursi </w:t>
      </w:r>
      <w:r w:rsidR="00A82AF5">
        <w:rPr>
          <w:rFonts w:ascii="Calibri" w:eastAsia="Calibri" w:hAnsi="Calibri" w:cs="Calibri"/>
          <w:color w:val="000000" w:themeColor="text1"/>
          <w:sz w:val="22"/>
          <w:szCs w:val="22"/>
        </w:rPr>
        <w:t xml:space="preserve">alla presente </w:t>
      </w:r>
      <w:proofErr w:type="spellStart"/>
      <w:r w:rsidR="00A82AF5">
        <w:rPr>
          <w:rFonts w:ascii="Calibri" w:eastAsia="Calibri" w:hAnsi="Calibri" w:cs="Calibri"/>
          <w:color w:val="000000" w:themeColor="text1"/>
          <w:sz w:val="22"/>
          <w:szCs w:val="22"/>
        </w:rPr>
        <w:t>premialità</w:t>
      </w:r>
      <w:proofErr w:type="spellEnd"/>
      <w:r w:rsidRPr="009A1D53">
        <w:rPr>
          <w:rFonts w:ascii="Calibri" w:eastAsia="Calibri" w:hAnsi="Calibri" w:cs="Calibri"/>
          <w:color w:val="000000" w:themeColor="text1"/>
          <w:sz w:val="22"/>
          <w:szCs w:val="22"/>
        </w:rPr>
        <w:t xml:space="preserve">, l’impegno nell’attività vaccinale rivolta prioritariamente ai pazienti cronici inseriti in percorsi di presa in carico, secondo modelli che favoriscano al contempo lo sviluppo della capacità organizzativa dei </w:t>
      </w:r>
      <w:r w:rsidR="00A82AF5">
        <w:rPr>
          <w:rFonts w:ascii="Calibri" w:eastAsia="Calibri" w:hAnsi="Calibri" w:cs="Calibri"/>
          <w:color w:val="000000" w:themeColor="text1"/>
          <w:sz w:val="22"/>
          <w:szCs w:val="22"/>
        </w:rPr>
        <w:t>MAP</w:t>
      </w:r>
      <w:r w:rsidRPr="009A1D53">
        <w:rPr>
          <w:rFonts w:ascii="Calibri" w:eastAsia="Calibri" w:hAnsi="Calibri" w:cs="Calibri"/>
          <w:color w:val="000000" w:themeColor="text1"/>
          <w:sz w:val="22"/>
          <w:szCs w:val="22"/>
        </w:rPr>
        <w:t xml:space="preserve"> e l’aderenza al percorso procedurale per la somministrazione di vaccinazioni, come tracciato nell’</w:t>
      </w:r>
      <w:r w:rsidR="00B134C6" w:rsidRPr="00B134C6">
        <w:rPr>
          <w:rFonts w:ascii="Calibri" w:eastAsia="Calibri" w:hAnsi="Calibri" w:cs="Calibri"/>
          <w:b/>
          <w:color w:val="000000" w:themeColor="text1"/>
          <w:sz w:val="22"/>
          <w:szCs w:val="22"/>
        </w:rPr>
        <w:t>ALLEGATO</w:t>
      </w:r>
      <w:r w:rsidRPr="00B134C6">
        <w:rPr>
          <w:rFonts w:ascii="Calibri" w:eastAsia="Calibri" w:hAnsi="Calibri" w:cs="Calibri"/>
          <w:b/>
          <w:color w:val="000000" w:themeColor="text1"/>
          <w:sz w:val="22"/>
          <w:szCs w:val="22"/>
        </w:rPr>
        <w:t xml:space="preserve"> 1 </w:t>
      </w:r>
      <w:r w:rsidR="00B134C6">
        <w:rPr>
          <w:rFonts w:ascii="Calibri" w:eastAsia="Calibri" w:hAnsi="Calibri" w:cs="Calibri"/>
          <w:color w:val="000000" w:themeColor="text1"/>
          <w:sz w:val="22"/>
          <w:szCs w:val="22"/>
        </w:rPr>
        <w:t>della presente Intesa</w:t>
      </w:r>
      <w:r w:rsidRPr="009A1D53">
        <w:rPr>
          <w:rFonts w:ascii="Calibri" w:eastAsia="Calibri" w:hAnsi="Calibri" w:cs="Calibri"/>
          <w:color w:val="000000" w:themeColor="text1"/>
          <w:sz w:val="22"/>
          <w:szCs w:val="22"/>
        </w:rPr>
        <w:t>.</w:t>
      </w:r>
    </w:p>
    <w:p w14:paraId="1C13B9CE" w14:textId="77777777" w:rsidR="0097055E" w:rsidRPr="009A1D53" w:rsidRDefault="0097055E" w:rsidP="0097055E">
      <w:pPr>
        <w:spacing w:before="240" w:after="0"/>
        <w:jc w:val="both"/>
        <w:rPr>
          <w:rFonts w:cs="Calibri"/>
          <w:color w:val="000000" w:themeColor="text1"/>
        </w:rPr>
      </w:pPr>
      <w:r w:rsidRPr="009A1D53">
        <w:rPr>
          <w:rFonts w:cs="Calibri"/>
          <w:color w:val="000000" w:themeColor="text1"/>
        </w:rPr>
        <w:t xml:space="preserve">Vaccinazioni di interesse: </w:t>
      </w:r>
    </w:p>
    <w:p w14:paraId="3BCBE3DC" w14:textId="77777777" w:rsidR="0097055E" w:rsidRPr="009A1D53" w:rsidRDefault="0097055E" w:rsidP="0067743C">
      <w:pPr>
        <w:pStyle w:val="Paragrafoelenco"/>
        <w:numPr>
          <w:ilvl w:val="0"/>
          <w:numId w:val="1"/>
        </w:numPr>
        <w:spacing w:after="0"/>
        <w:jc w:val="both"/>
        <w:rPr>
          <w:rFonts w:ascii="Calibri" w:eastAsia="Calibri" w:hAnsi="Calibri" w:cs="Calibri"/>
          <w:color w:val="000000" w:themeColor="text1"/>
        </w:rPr>
      </w:pPr>
      <w:r w:rsidRPr="009A1D53">
        <w:rPr>
          <w:rFonts w:ascii="Calibri" w:eastAsia="Calibri" w:hAnsi="Calibri" w:cs="Calibri"/>
          <w:color w:val="000000" w:themeColor="text1"/>
        </w:rPr>
        <w:t>Anti Herpes Zoster</w:t>
      </w:r>
    </w:p>
    <w:p w14:paraId="17F14877" w14:textId="77777777" w:rsidR="0097055E" w:rsidRPr="009A1D53" w:rsidRDefault="0097055E" w:rsidP="0067743C">
      <w:pPr>
        <w:pStyle w:val="Paragrafoelenco"/>
        <w:numPr>
          <w:ilvl w:val="0"/>
          <w:numId w:val="1"/>
        </w:numPr>
        <w:spacing w:after="0"/>
        <w:jc w:val="both"/>
        <w:rPr>
          <w:rFonts w:ascii="Calibri" w:eastAsia="Calibri" w:hAnsi="Calibri" w:cs="Calibri"/>
          <w:color w:val="000000" w:themeColor="text1"/>
        </w:rPr>
      </w:pPr>
      <w:r w:rsidRPr="009A1D53">
        <w:rPr>
          <w:rFonts w:ascii="Calibri" w:eastAsia="Calibri" w:hAnsi="Calibri" w:cs="Calibri"/>
          <w:color w:val="000000" w:themeColor="text1"/>
        </w:rPr>
        <w:t xml:space="preserve">Anti Difterite-Tetano-Pertosse </w:t>
      </w:r>
    </w:p>
    <w:p w14:paraId="1E75B308" w14:textId="77777777" w:rsidR="0097055E" w:rsidRPr="009A1D53" w:rsidRDefault="0097055E" w:rsidP="0067743C">
      <w:pPr>
        <w:pStyle w:val="Paragrafoelenco"/>
        <w:numPr>
          <w:ilvl w:val="0"/>
          <w:numId w:val="1"/>
        </w:numPr>
        <w:spacing w:after="0"/>
        <w:jc w:val="both"/>
        <w:rPr>
          <w:rFonts w:ascii="Calibri" w:eastAsia="Calibri" w:hAnsi="Calibri" w:cs="Calibri"/>
          <w:color w:val="000000" w:themeColor="text1"/>
        </w:rPr>
      </w:pPr>
      <w:r w:rsidRPr="009A1D53">
        <w:rPr>
          <w:rFonts w:ascii="Calibri" w:eastAsia="Calibri" w:hAnsi="Calibri" w:cs="Calibri"/>
          <w:color w:val="000000" w:themeColor="text1"/>
        </w:rPr>
        <w:t>Anti CoviD-19 (oltre la previsione della co-somministrazione con vaccino antinfluenzale)</w:t>
      </w:r>
    </w:p>
    <w:p w14:paraId="2461FD6B" w14:textId="77777777" w:rsidR="0097055E" w:rsidRPr="009A1D53" w:rsidRDefault="0097055E" w:rsidP="0067743C">
      <w:pPr>
        <w:pStyle w:val="Paragrafoelenco"/>
        <w:numPr>
          <w:ilvl w:val="0"/>
          <w:numId w:val="1"/>
        </w:numPr>
        <w:spacing w:after="0"/>
        <w:jc w:val="both"/>
        <w:rPr>
          <w:rFonts w:ascii="Calibri" w:eastAsia="Calibri" w:hAnsi="Calibri" w:cs="Calibri"/>
          <w:color w:val="000000" w:themeColor="text1"/>
        </w:rPr>
      </w:pPr>
      <w:r w:rsidRPr="009A1D53">
        <w:rPr>
          <w:rFonts w:ascii="Calibri" w:eastAsia="Calibri" w:hAnsi="Calibri" w:cs="Calibri"/>
          <w:color w:val="000000" w:themeColor="text1"/>
        </w:rPr>
        <w:t>Anti Pneumococco (oltre la previsione della co-somministrazione con vaccino antinfluenzale)</w:t>
      </w:r>
    </w:p>
    <w:p w14:paraId="2D83FB7C" w14:textId="77777777" w:rsidR="00520F68" w:rsidRDefault="00520F68" w:rsidP="009A1D53">
      <w:pPr>
        <w:pStyle w:val="paragraph"/>
        <w:spacing w:beforeAutospacing="0" w:after="0" w:afterAutospacing="0"/>
        <w:jc w:val="both"/>
        <w:textAlignment w:val="baseline"/>
        <w:rPr>
          <w:rFonts w:asciiTheme="minorHAnsi" w:hAnsiTheme="minorHAnsi" w:cstheme="minorHAnsi"/>
          <w:sz w:val="22"/>
          <w:szCs w:val="22"/>
        </w:rPr>
      </w:pPr>
    </w:p>
    <w:p w14:paraId="705E09FF" w14:textId="12DFC7C5" w:rsidR="00B134C6" w:rsidRPr="00B134C6" w:rsidRDefault="00B134C6" w:rsidP="0067743C">
      <w:pPr>
        <w:pStyle w:val="Paragrafoelenco"/>
        <w:numPr>
          <w:ilvl w:val="0"/>
          <w:numId w:val="11"/>
        </w:numPr>
        <w:spacing w:line="240" w:lineRule="auto"/>
        <w:jc w:val="both"/>
        <w:rPr>
          <w:rFonts w:eastAsia="Times New Roman" w:cstheme="minorHAnsi"/>
          <w:bCs/>
          <w:color w:val="000000" w:themeColor="text1"/>
          <w:kern w:val="0"/>
          <w:u w:val="single"/>
          <w:lang w:eastAsia="it-IT"/>
        </w:rPr>
      </w:pPr>
      <w:r w:rsidRPr="00B134C6">
        <w:rPr>
          <w:rFonts w:eastAsia="Times New Roman" w:cstheme="minorHAnsi"/>
          <w:bCs/>
          <w:color w:val="000000" w:themeColor="text1"/>
          <w:kern w:val="0"/>
          <w:u w:val="single"/>
          <w:lang w:eastAsia="it-IT"/>
        </w:rPr>
        <w:t xml:space="preserve">Partecipazione attiva all’attività di </w:t>
      </w:r>
      <w:proofErr w:type="spellStart"/>
      <w:r w:rsidRPr="00B134C6">
        <w:rPr>
          <w:rFonts w:eastAsia="Times New Roman" w:cstheme="minorHAnsi"/>
          <w:bCs/>
          <w:color w:val="000000" w:themeColor="text1"/>
          <w:kern w:val="0"/>
          <w:u w:val="single"/>
          <w:lang w:eastAsia="it-IT"/>
        </w:rPr>
        <w:t>testing</w:t>
      </w:r>
      <w:proofErr w:type="spellEnd"/>
      <w:r w:rsidRPr="00B134C6">
        <w:rPr>
          <w:rFonts w:eastAsia="Times New Roman" w:cstheme="minorHAnsi"/>
          <w:bCs/>
          <w:color w:val="000000" w:themeColor="text1"/>
          <w:kern w:val="0"/>
          <w:u w:val="single"/>
          <w:lang w:eastAsia="it-IT"/>
        </w:rPr>
        <w:t xml:space="preserve"> per la diagnosi eziologica delle sindromi respiratorie su base virale</w:t>
      </w:r>
    </w:p>
    <w:p w14:paraId="5508D997" w14:textId="135B4143" w:rsidR="00B134C6" w:rsidRDefault="00B134C6" w:rsidP="009A1D53">
      <w:pPr>
        <w:pStyle w:val="paragraph"/>
        <w:spacing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I MAP vengono dotati di Tamponi Nasofaringei (TNF) antigenici rapidi per la diagnosi eziologica delle seguenti infezioni virali:</w:t>
      </w:r>
    </w:p>
    <w:p w14:paraId="28B71988" w14:textId="69B3CBC9" w:rsidR="00B134C6" w:rsidRDefault="00B134C6" w:rsidP="0067743C">
      <w:pPr>
        <w:pStyle w:val="paragraph"/>
        <w:numPr>
          <w:ilvl w:val="0"/>
          <w:numId w:val="12"/>
        </w:numPr>
        <w:spacing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SARS-CoV-2</w:t>
      </w:r>
    </w:p>
    <w:p w14:paraId="027F5385" w14:textId="10B0B5E5" w:rsidR="00B134C6" w:rsidRDefault="00B134C6" w:rsidP="0067743C">
      <w:pPr>
        <w:pStyle w:val="paragraph"/>
        <w:numPr>
          <w:ilvl w:val="0"/>
          <w:numId w:val="12"/>
        </w:numPr>
        <w:spacing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INFLUENZA A</w:t>
      </w:r>
    </w:p>
    <w:p w14:paraId="319DE040" w14:textId="10578CA0" w:rsidR="00B134C6" w:rsidRDefault="00B134C6" w:rsidP="0067743C">
      <w:pPr>
        <w:pStyle w:val="paragraph"/>
        <w:numPr>
          <w:ilvl w:val="0"/>
          <w:numId w:val="12"/>
        </w:numPr>
        <w:spacing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INFLUENZA B</w:t>
      </w:r>
    </w:p>
    <w:p w14:paraId="663EBFF8" w14:textId="09BA8F73" w:rsidR="00B134C6" w:rsidRDefault="00B134C6" w:rsidP="0067743C">
      <w:pPr>
        <w:pStyle w:val="paragraph"/>
        <w:numPr>
          <w:ilvl w:val="0"/>
          <w:numId w:val="12"/>
        </w:numPr>
        <w:spacing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ADENOVIRUS</w:t>
      </w:r>
    </w:p>
    <w:p w14:paraId="4977618D" w14:textId="57E453B4" w:rsidR="00FA19A0" w:rsidRDefault="00FA19A0" w:rsidP="00FA19A0">
      <w:pPr>
        <w:pStyle w:val="paragraph"/>
        <w:spacing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Ad ogni Medico verranno distribuiti fino a 150 TNF da utilizzare nel proprio ambulatorio.</w:t>
      </w:r>
    </w:p>
    <w:p w14:paraId="3E1F7550" w14:textId="16245588" w:rsidR="00FA19A0" w:rsidRDefault="00FA19A0" w:rsidP="00FA19A0">
      <w:pPr>
        <w:pStyle w:val="paragraph"/>
        <w:spacing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Il riconoscimento economico per singolo TNF effettuato e registrato in SMI è pari a Euro </w:t>
      </w:r>
      <w:r w:rsidRPr="00FF1299">
        <w:rPr>
          <w:rFonts w:asciiTheme="minorHAnsi" w:hAnsiTheme="minorHAnsi" w:cstheme="minorHAnsi"/>
          <w:b/>
          <w:sz w:val="22"/>
          <w:szCs w:val="22"/>
        </w:rPr>
        <w:t>8,00</w:t>
      </w:r>
      <w:r>
        <w:rPr>
          <w:rFonts w:asciiTheme="minorHAnsi" w:hAnsiTheme="minorHAnsi" w:cstheme="minorHAnsi"/>
          <w:sz w:val="22"/>
          <w:szCs w:val="22"/>
        </w:rPr>
        <w:t>.</w:t>
      </w:r>
    </w:p>
    <w:p w14:paraId="4B28E242" w14:textId="4F99A1EE" w:rsidR="00FA19A0" w:rsidRDefault="00FA19A0" w:rsidP="00FA19A0">
      <w:pPr>
        <w:pStyle w:val="paragraph"/>
        <w:spacing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lastRenderedPageBreak/>
        <w:t xml:space="preserve">I MAP potranno altresì aderire ad attività di </w:t>
      </w:r>
      <w:proofErr w:type="spellStart"/>
      <w:r>
        <w:rPr>
          <w:rFonts w:asciiTheme="minorHAnsi" w:hAnsiTheme="minorHAnsi" w:cstheme="minorHAnsi"/>
          <w:sz w:val="22"/>
          <w:szCs w:val="22"/>
        </w:rPr>
        <w:t>testing</w:t>
      </w:r>
      <w:proofErr w:type="spellEnd"/>
      <w:r>
        <w:rPr>
          <w:rFonts w:asciiTheme="minorHAnsi" w:hAnsiTheme="minorHAnsi" w:cstheme="minorHAnsi"/>
          <w:sz w:val="22"/>
          <w:szCs w:val="22"/>
        </w:rPr>
        <w:t xml:space="preserve"> organizzate dalle ASST all’interno delle Case di Comunità con riconoscimento economico per singolo TNF effettuato e registrato in SMI è pari a Euro </w:t>
      </w:r>
      <w:r w:rsidRPr="00FF1299">
        <w:rPr>
          <w:rFonts w:asciiTheme="minorHAnsi" w:hAnsiTheme="minorHAnsi" w:cstheme="minorHAnsi"/>
          <w:b/>
          <w:sz w:val="22"/>
          <w:szCs w:val="22"/>
        </w:rPr>
        <w:t>8,00</w:t>
      </w:r>
      <w:r>
        <w:rPr>
          <w:rFonts w:asciiTheme="minorHAnsi" w:hAnsiTheme="minorHAnsi" w:cstheme="minorHAnsi"/>
          <w:sz w:val="22"/>
          <w:szCs w:val="22"/>
        </w:rPr>
        <w:t>.</w:t>
      </w:r>
    </w:p>
    <w:p w14:paraId="28D8899F" w14:textId="77777777" w:rsidR="00FA19A0" w:rsidRDefault="00FA19A0" w:rsidP="00FA19A0">
      <w:pPr>
        <w:pStyle w:val="paragraph"/>
        <w:spacing w:beforeAutospacing="0" w:after="0" w:afterAutospacing="0"/>
        <w:jc w:val="both"/>
        <w:textAlignment w:val="baseline"/>
        <w:rPr>
          <w:rFonts w:asciiTheme="minorHAnsi" w:hAnsiTheme="minorHAnsi" w:cstheme="minorHAnsi"/>
          <w:sz w:val="22"/>
          <w:szCs w:val="22"/>
        </w:rPr>
      </w:pPr>
    </w:p>
    <w:p w14:paraId="013BBC37" w14:textId="70EB4A72" w:rsidR="00FA19A0" w:rsidRPr="00FA19A0" w:rsidRDefault="00FA19A0" w:rsidP="0067743C">
      <w:pPr>
        <w:pStyle w:val="Paragrafoelenco"/>
        <w:numPr>
          <w:ilvl w:val="0"/>
          <w:numId w:val="11"/>
        </w:numPr>
        <w:spacing w:line="240" w:lineRule="auto"/>
        <w:jc w:val="both"/>
        <w:rPr>
          <w:rFonts w:eastAsia="Times New Roman" w:cstheme="minorHAnsi"/>
          <w:bCs/>
          <w:color w:val="000000" w:themeColor="text1"/>
          <w:kern w:val="0"/>
          <w:u w:val="single"/>
          <w:lang w:eastAsia="it-IT"/>
        </w:rPr>
      </w:pPr>
      <w:r w:rsidRPr="00FA19A0">
        <w:rPr>
          <w:rFonts w:eastAsia="Times New Roman" w:cstheme="minorHAnsi"/>
          <w:bCs/>
          <w:color w:val="000000" w:themeColor="text1"/>
          <w:kern w:val="0"/>
          <w:u w:val="single"/>
          <w:lang w:eastAsia="it-IT"/>
        </w:rPr>
        <w:t>Assistenza medica negli Hot-Spot Infettivologici</w:t>
      </w:r>
    </w:p>
    <w:p w14:paraId="0C1AB297" w14:textId="6332C04C" w:rsidR="00FA19A0" w:rsidRDefault="009F1F3B" w:rsidP="009F1F3B">
      <w:pPr>
        <w:spacing w:after="0" w:line="240" w:lineRule="auto"/>
        <w:jc w:val="both"/>
        <w:rPr>
          <w:rFonts w:cstheme="minorHAnsi"/>
        </w:rPr>
      </w:pPr>
      <w:r>
        <w:rPr>
          <w:rFonts w:asciiTheme="minorHAnsi" w:hAnsiTheme="minorHAnsi" w:cstheme="minorHAnsi"/>
          <w:bCs/>
          <w:color w:val="000000" w:themeColor="text1"/>
        </w:rPr>
        <w:t xml:space="preserve">In considerazione della bontà dell’esperienza Hot-Spot infettivologici 2024, anche per il 2025 sono previste </w:t>
      </w:r>
      <w:r w:rsidR="00FA19A0" w:rsidRPr="009A1D53">
        <w:rPr>
          <w:rFonts w:asciiTheme="minorHAnsi" w:hAnsiTheme="minorHAnsi" w:cstheme="minorHAnsi"/>
          <w:bCs/>
          <w:color w:val="000000" w:themeColor="text1"/>
        </w:rPr>
        <w:t xml:space="preserve">assegnazioni economiche alle ASST oltre a quelle che alimentano il fondo della Medicina Convenzionata, per l’espletamento da parte dei </w:t>
      </w:r>
      <w:r>
        <w:rPr>
          <w:rFonts w:asciiTheme="minorHAnsi" w:hAnsiTheme="minorHAnsi" w:cstheme="minorHAnsi"/>
          <w:bCs/>
          <w:i/>
          <w:color w:val="000000" w:themeColor="text1"/>
        </w:rPr>
        <w:t>MAP</w:t>
      </w:r>
      <w:r w:rsidR="00FA19A0" w:rsidRPr="009A1D53">
        <w:rPr>
          <w:rFonts w:asciiTheme="minorHAnsi" w:hAnsiTheme="minorHAnsi" w:cstheme="minorHAnsi"/>
          <w:bCs/>
          <w:i/>
          <w:color w:val="000000" w:themeColor="text1"/>
        </w:rPr>
        <w:t xml:space="preserve"> di specifiche attività definite dalle Aziende anche con soggetti terzi, in forma organizzata e continuativa, al di fuori degli orari di attività convenziona</w:t>
      </w:r>
      <w:r w:rsidR="00FA19A0" w:rsidRPr="009A1D53">
        <w:rPr>
          <w:rFonts w:asciiTheme="minorHAnsi" w:hAnsiTheme="minorHAnsi" w:cstheme="minorHAnsi"/>
          <w:i/>
        </w:rPr>
        <w:t>le, nell’ambito degli Accordi Attuativi Aziendali</w:t>
      </w:r>
      <w:r>
        <w:rPr>
          <w:rFonts w:asciiTheme="minorHAnsi" w:hAnsiTheme="minorHAnsi" w:cstheme="minorHAnsi"/>
        </w:rPr>
        <w:t xml:space="preserve"> per il c</w:t>
      </w:r>
      <w:r w:rsidR="00FA19A0" w:rsidRPr="009F1F3B">
        <w:rPr>
          <w:rStyle w:val="normaltextrun"/>
          <w:rFonts w:cstheme="minorHAnsi"/>
        </w:rPr>
        <w:t>oncorso al contenimento</w:t>
      </w:r>
      <w:r w:rsidR="00FA19A0" w:rsidRPr="009F1F3B">
        <w:rPr>
          <w:rFonts w:cstheme="minorHAnsi"/>
        </w:rPr>
        <w:t xml:space="preserve"> degli accessi impropri al Pronto Soccorso nel contesto del Piano Pandemico Influenzale (PANFLU) – </w:t>
      </w:r>
      <w:r w:rsidRPr="009F1F3B">
        <w:rPr>
          <w:rFonts w:cstheme="minorHAnsi"/>
          <w:b/>
        </w:rPr>
        <w:t>ALLEGATO 2</w:t>
      </w:r>
      <w:r w:rsidR="0011507E">
        <w:rPr>
          <w:rFonts w:cstheme="minorHAnsi"/>
        </w:rPr>
        <w:t>.</w:t>
      </w:r>
    </w:p>
    <w:p w14:paraId="7DCAABEE" w14:textId="77777777" w:rsidR="0011507E" w:rsidRDefault="0011507E" w:rsidP="009F1F3B">
      <w:pPr>
        <w:spacing w:after="0" w:line="240" w:lineRule="auto"/>
        <w:jc w:val="both"/>
        <w:rPr>
          <w:rFonts w:cstheme="minorHAnsi"/>
        </w:rPr>
      </w:pPr>
    </w:p>
    <w:p w14:paraId="2D0800BF" w14:textId="54D40C97" w:rsidR="0011507E" w:rsidRPr="0011507E" w:rsidRDefault="0011507E" w:rsidP="009F1F3B">
      <w:pPr>
        <w:spacing w:after="0" w:line="240" w:lineRule="auto"/>
        <w:jc w:val="both"/>
        <w:rPr>
          <w:rFonts w:asciiTheme="minorHAnsi" w:hAnsiTheme="minorHAnsi" w:cstheme="minorHAnsi"/>
        </w:rPr>
      </w:pPr>
      <w:r w:rsidRPr="0011507E">
        <w:rPr>
          <w:rFonts w:cstheme="minorHAnsi"/>
          <w:b/>
          <w:i/>
        </w:rPr>
        <w:t>Copertura Screening oncologici</w:t>
      </w:r>
    </w:p>
    <w:p w14:paraId="02DE8854" w14:textId="77777777" w:rsidR="00A21AE1" w:rsidRDefault="00A21AE1" w:rsidP="009A1D53">
      <w:pPr>
        <w:pStyle w:val="paragraph"/>
        <w:spacing w:beforeAutospacing="0" w:after="0" w:afterAutospacing="0"/>
        <w:jc w:val="both"/>
        <w:textAlignment w:val="baseline"/>
        <w:rPr>
          <w:rFonts w:asciiTheme="minorHAnsi" w:hAnsiTheme="minorHAnsi" w:cstheme="minorHAnsi"/>
          <w:sz w:val="22"/>
          <w:szCs w:val="22"/>
        </w:rPr>
      </w:pPr>
    </w:p>
    <w:p w14:paraId="22395836" w14:textId="77777777" w:rsidR="00AA6630" w:rsidRDefault="00AA6630" w:rsidP="009A1D53">
      <w:pPr>
        <w:pStyle w:val="paragraph"/>
        <w:spacing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Tale attività sostanzia per il 2025 la progettualità di AFT. </w:t>
      </w:r>
    </w:p>
    <w:p w14:paraId="4F904E6C" w14:textId="564B215E" w:rsidR="00B134C6" w:rsidRDefault="0011507E" w:rsidP="009A1D53">
      <w:pPr>
        <w:pStyle w:val="paragraph"/>
        <w:spacing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I</w:t>
      </w:r>
      <w:r w:rsidR="00AA6630">
        <w:rPr>
          <w:rFonts w:asciiTheme="minorHAnsi" w:hAnsiTheme="minorHAnsi" w:cstheme="minorHAnsi"/>
          <w:sz w:val="22"/>
          <w:szCs w:val="22"/>
        </w:rPr>
        <w:t xml:space="preserve"> </w:t>
      </w:r>
      <w:r>
        <w:rPr>
          <w:rFonts w:asciiTheme="minorHAnsi" w:hAnsiTheme="minorHAnsi" w:cstheme="minorHAnsi"/>
          <w:sz w:val="22"/>
          <w:szCs w:val="22"/>
        </w:rPr>
        <w:t xml:space="preserve">MAP </w:t>
      </w:r>
      <w:r w:rsidR="00AA6630">
        <w:rPr>
          <w:rFonts w:asciiTheme="minorHAnsi" w:hAnsiTheme="minorHAnsi" w:cstheme="minorHAnsi"/>
          <w:sz w:val="22"/>
          <w:szCs w:val="22"/>
        </w:rPr>
        <w:t xml:space="preserve">della AFT </w:t>
      </w:r>
      <w:r>
        <w:rPr>
          <w:rFonts w:asciiTheme="minorHAnsi" w:hAnsiTheme="minorHAnsi" w:cstheme="minorHAnsi"/>
          <w:sz w:val="22"/>
          <w:szCs w:val="22"/>
        </w:rPr>
        <w:t>chiama</w:t>
      </w:r>
      <w:r w:rsidR="00AA6630">
        <w:rPr>
          <w:rFonts w:asciiTheme="minorHAnsi" w:hAnsiTheme="minorHAnsi" w:cstheme="minorHAnsi"/>
          <w:sz w:val="22"/>
          <w:szCs w:val="22"/>
        </w:rPr>
        <w:t>no</w:t>
      </w:r>
      <w:r>
        <w:rPr>
          <w:rFonts w:asciiTheme="minorHAnsi" w:hAnsiTheme="minorHAnsi" w:cstheme="minorHAnsi"/>
          <w:sz w:val="22"/>
          <w:szCs w:val="22"/>
        </w:rPr>
        <w:t xml:space="preserve"> attivamente i propri assistiti, sia di genere femminile che di genere maschile, che compiono i 52 anni d’età nel corso del 2025 (coorte nati 1973) per l’effettuazione di un vero e proprio “bilancio di salute” secondo una scheda di Anamnesi ed Esame Obiettivo predefinita (</w:t>
      </w:r>
      <w:r w:rsidRPr="0011507E">
        <w:rPr>
          <w:rFonts w:asciiTheme="minorHAnsi" w:hAnsiTheme="minorHAnsi" w:cstheme="minorHAnsi"/>
          <w:b/>
          <w:sz w:val="22"/>
          <w:szCs w:val="22"/>
        </w:rPr>
        <w:t>ALLEGATO 3</w:t>
      </w:r>
      <w:r>
        <w:rPr>
          <w:rFonts w:asciiTheme="minorHAnsi" w:hAnsiTheme="minorHAnsi" w:cstheme="minorHAnsi"/>
          <w:sz w:val="22"/>
          <w:szCs w:val="22"/>
        </w:rPr>
        <w:t xml:space="preserve">) al fine di sensibilizzare gli assistiti alle campagne di screening </w:t>
      </w:r>
      <w:r w:rsidR="0062107C">
        <w:rPr>
          <w:rFonts w:asciiTheme="minorHAnsi" w:hAnsiTheme="minorHAnsi" w:cstheme="minorHAnsi"/>
          <w:sz w:val="22"/>
          <w:szCs w:val="22"/>
        </w:rPr>
        <w:t xml:space="preserve">mediante interventi di </w:t>
      </w:r>
      <w:proofErr w:type="spellStart"/>
      <w:r w:rsidR="0062107C">
        <w:rPr>
          <w:rFonts w:asciiTheme="minorHAnsi" w:hAnsiTheme="minorHAnsi" w:cstheme="minorHAnsi"/>
          <w:sz w:val="22"/>
          <w:szCs w:val="22"/>
        </w:rPr>
        <w:t>counseling</w:t>
      </w:r>
      <w:proofErr w:type="spellEnd"/>
      <w:r w:rsidR="0062107C">
        <w:rPr>
          <w:rFonts w:asciiTheme="minorHAnsi" w:hAnsiTheme="minorHAnsi" w:cstheme="minorHAnsi"/>
          <w:sz w:val="22"/>
          <w:szCs w:val="22"/>
        </w:rPr>
        <w:t xml:space="preserve">/educazione sanitaria. Ad esito di tale attività i MAP </w:t>
      </w:r>
      <w:r w:rsidR="00AA6630">
        <w:rPr>
          <w:rFonts w:asciiTheme="minorHAnsi" w:hAnsiTheme="minorHAnsi" w:cstheme="minorHAnsi"/>
          <w:sz w:val="22"/>
          <w:szCs w:val="22"/>
        </w:rPr>
        <w:t>trasmettono una relazione anonima e completa dei “recuperi” ottenuti e delle ragioni prevalenti di diniego allo screening da parte degli assistiti interessati.</w:t>
      </w:r>
    </w:p>
    <w:p w14:paraId="36E4E23C" w14:textId="24275115" w:rsidR="00A21AE1" w:rsidRDefault="00A21AE1" w:rsidP="009A1D53">
      <w:pPr>
        <w:pStyle w:val="paragraph"/>
        <w:spacing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Si prevede che il tempo per l’effettuazione del “bilancio di salute” (</w:t>
      </w:r>
      <w:proofErr w:type="spellStart"/>
      <w:r>
        <w:rPr>
          <w:rFonts w:asciiTheme="minorHAnsi" w:hAnsiTheme="minorHAnsi" w:cstheme="minorHAnsi"/>
          <w:sz w:val="22"/>
          <w:szCs w:val="22"/>
        </w:rPr>
        <w:t>anamnesi+esame</w:t>
      </w:r>
      <w:proofErr w:type="spellEnd"/>
      <w:r>
        <w:rPr>
          <w:rFonts w:asciiTheme="minorHAnsi" w:hAnsiTheme="minorHAnsi" w:cstheme="minorHAnsi"/>
          <w:sz w:val="22"/>
          <w:szCs w:val="22"/>
        </w:rPr>
        <w:t xml:space="preserve"> obiettivo) sia pari a 30 minuti a paziente. Stimando un carico teorico di circa 20 pazienti a MAP si ipotizza un carico orario a Medico pari a </w:t>
      </w:r>
      <w:r w:rsidR="00FF1299">
        <w:rPr>
          <w:rFonts w:asciiTheme="minorHAnsi" w:hAnsiTheme="minorHAnsi" w:cstheme="minorHAnsi"/>
          <w:sz w:val="22"/>
          <w:szCs w:val="22"/>
        </w:rPr>
        <w:t>circa 10 ore/anno, a cui si aggiunge il tempo per gli aspetti operativi connessi alla chiamata attiva e all’organizzazione dell’attività.</w:t>
      </w:r>
    </w:p>
    <w:p w14:paraId="3B53969E" w14:textId="77777777" w:rsidR="00520F68" w:rsidRDefault="00520F68" w:rsidP="009A1D53">
      <w:pPr>
        <w:pStyle w:val="paragraph"/>
        <w:spacing w:beforeAutospacing="0" w:after="0" w:afterAutospacing="0"/>
        <w:jc w:val="both"/>
        <w:textAlignment w:val="baseline"/>
        <w:rPr>
          <w:rFonts w:asciiTheme="minorHAnsi" w:hAnsiTheme="minorHAnsi" w:cstheme="minorHAnsi"/>
          <w:sz w:val="22"/>
          <w:szCs w:val="22"/>
        </w:rPr>
      </w:pPr>
    </w:p>
    <w:p w14:paraId="2A462214" w14:textId="77777777" w:rsidR="00A21AE1" w:rsidRPr="009A1D53" w:rsidRDefault="00A21AE1" w:rsidP="00A21AE1">
      <w:pPr>
        <w:pStyle w:val="NormaleWeb"/>
        <w:spacing w:beforeAutospacing="0" w:after="0" w:afterAutospacing="0"/>
        <w:jc w:val="both"/>
        <w:rPr>
          <w:rFonts w:asciiTheme="minorHAnsi" w:hAnsiTheme="minorHAnsi" w:cstheme="minorHAnsi"/>
          <w:kern w:val="24"/>
          <w:sz w:val="22"/>
          <w:szCs w:val="22"/>
        </w:rPr>
      </w:pPr>
      <w:r w:rsidRPr="009A1D53">
        <w:rPr>
          <w:rFonts w:asciiTheme="minorHAnsi" w:hAnsiTheme="minorHAnsi" w:cstheme="minorHAnsi"/>
          <w:bCs/>
          <w:sz w:val="22"/>
          <w:szCs w:val="22"/>
        </w:rPr>
        <w:t xml:space="preserve">La corresponsione della </w:t>
      </w:r>
      <w:proofErr w:type="spellStart"/>
      <w:r>
        <w:rPr>
          <w:rFonts w:asciiTheme="minorHAnsi" w:hAnsiTheme="minorHAnsi" w:cstheme="minorHAnsi"/>
          <w:bCs/>
          <w:sz w:val="22"/>
          <w:szCs w:val="22"/>
        </w:rPr>
        <w:t>premialità</w:t>
      </w:r>
      <w:proofErr w:type="spellEnd"/>
      <w:r w:rsidRPr="009A1D53">
        <w:rPr>
          <w:rFonts w:asciiTheme="minorHAnsi" w:hAnsiTheme="minorHAnsi" w:cstheme="minorHAnsi"/>
          <w:bCs/>
          <w:sz w:val="22"/>
          <w:szCs w:val="22"/>
        </w:rPr>
        <w:t xml:space="preserve"> sarà così articolata:</w:t>
      </w:r>
    </w:p>
    <w:tbl>
      <w:tblPr>
        <w:tblStyle w:val="Tabellagriglia1chiara-colore6"/>
        <w:tblW w:w="10632" w:type="dxa"/>
        <w:jc w:val="center"/>
        <w:tblLook w:val="04A0" w:firstRow="1" w:lastRow="0" w:firstColumn="1" w:lastColumn="0" w:noHBand="0" w:noVBand="1"/>
      </w:tblPr>
      <w:tblGrid>
        <w:gridCol w:w="3425"/>
        <w:gridCol w:w="1740"/>
        <w:gridCol w:w="5467"/>
      </w:tblGrid>
      <w:tr w:rsidR="00A21AE1" w:rsidRPr="009A1D53" w14:paraId="7F68997E" w14:textId="77777777" w:rsidTr="00B00DE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25" w:type="dxa"/>
          </w:tcPr>
          <w:p w14:paraId="5F96220F" w14:textId="77777777" w:rsidR="00A21AE1" w:rsidRPr="009A1D53" w:rsidRDefault="00A21AE1" w:rsidP="00B00DEF">
            <w:pPr>
              <w:pStyle w:val="NormaleWeb"/>
              <w:spacing w:beforeAutospacing="0" w:afterAutospacing="0"/>
              <w:jc w:val="both"/>
              <w:rPr>
                <w:rFonts w:asciiTheme="minorHAnsi" w:hAnsiTheme="minorHAnsi" w:cstheme="minorHAnsi"/>
                <w:bCs w:val="0"/>
                <w:color w:val="000000" w:themeColor="text1"/>
                <w:sz w:val="22"/>
                <w:szCs w:val="22"/>
              </w:rPr>
            </w:pPr>
            <w:r w:rsidRPr="009A1D53">
              <w:rPr>
                <w:rFonts w:asciiTheme="minorHAnsi" w:hAnsiTheme="minorHAnsi" w:cstheme="minorHAnsi"/>
                <w:bCs w:val="0"/>
                <w:color w:val="000000" w:themeColor="text1"/>
                <w:sz w:val="22"/>
                <w:szCs w:val="22"/>
              </w:rPr>
              <w:t>Attività</w:t>
            </w:r>
          </w:p>
        </w:tc>
        <w:tc>
          <w:tcPr>
            <w:tcW w:w="1740" w:type="dxa"/>
          </w:tcPr>
          <w:p w14:paraId="1DA588E8" w14:textId="77777777" w:rsidR="00A21AE1" w:rsidRPr="009A1D53" w:rsidRDefault="00A21AE1" w:rsidP="00B00DEF">
            <w:pPr>
              <w:pStyle w:val="NormaleWeb"/>
              <w:spacing w:beforeAutospacing="0" w:afterAutospacing="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sz w:val="22"/>
                <w:szCs w:val="22"/>
              </w:rPr>
            </w:pPr>
            <w:r w:rsidRPr="009A1D53">
              <w:rPr>
                <w:rFonts w:asciiTheme="minorHAnsi" w:hAnsiTheme="minorHAnsi" w:cstheme="minorHAnsi"/>
                <w:bCs w:val="0"/>
                <w:color w:val="000000" w:themeColor="text1"/>
                <w:sz w:val="22"/>
                <w:szCs w:val="22"/>
              </w:rPr>
              <w:t xml:space="preserve">% Quota di </w:t>
            </w:r>
            <w:proofErr w:type="spellStart"/>
            <w:r>
              <w:rPr>
                <w:rFonts w:asciiTheme="minorHAnsi" w:hAnsiTheme="minorHAnsi" w:cstheme="minorHAnsi"/>
                <w:bCs w:val="0"/>
                <w:color w:val="000000" w:themeColor="text1"/>
                <w:sz w:val="22"/>
                <w:szCs w:val="22"/>
              </w:rPr>
              <w:t>premialità</w:t>
            </w:r>
            <w:proofErr w:type="spellEnd"/>
          </w:p>
        </w:tc>
        <w:tc>
          <w:tcPr>
            <w:tcW w:w="5467" w:type="dxa"/>
          </w:tcPr>
          <w:p w14:paraId="7281FA34" w14:textId="77777777" w:rsidR="00A21AE1" w:rsidRPr="009A1D53" w:rsidRDefault="00A21AE1" w:rsidP="00B00DEF">
            <w:pPr>
              <w:pStyle w:val="NormaleWeb"/>
              <w:spacing w:beforeAutospacing="0" w:afterAutospacing="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sz w:val="22"/>
                <w:szCs w:val="22"/>
              </w:rPr>
            </w:pPr>
            <w:r w:rsidRPr="009A1D53">
              <w:rPr>
                <w:rFonts w:asciiTheme="minorHAnsi" w:hAnsiTheme="minorHAnsi" w:cstheme="minorHAnsi"/>
                <w:bCs w:val="0"/>
                <w:color w:val="000000" w:themeColor="text1"/>
                <w:sz w:val="22"/>
                <w:szCs w:val="22"/>
              </w:rPr>
              <w:t>Area di risultato per il singolo MMG</w:t>
            </w:r>
          </w:p>
        </w:tc>
      </w:tr>
      <w:tr w:rsidR="00A21AE1" w:rsidRPr="009A1D53" w14:paraId="5E5E6F8B" w14:textId="77777777" w:rsidTr="00B00DEF">
        <w:trPr>
          <w:jc w:val="center"/>
        </w:trPr>
        <w:tc>
          <w:tcPr>
            <w:cnfStyle w:val="001000000000" w:firstRow="0" w:lastRow="0" w:firstColumn="1" w:lastColumn="0" w:oddVBand="0" w:evenVBand="0" w:oddHBand="0" w:evenHBand="0" w:firstRowFirstColumn="0" w:firstRowLastColumn="0" w:lastRowFirstColumn="0" w:lastRowLastColumn="0"/>
            <w:tcW w:w="3425" w:type="dxa"/>
            <w:vMerge w:val="restart"/>
          </w:tcPr>
          <w:p w14:paraId="6AD579AC" w14:textId="2E25D9B8" w:rsidR="00A21AE1" w:rsidRPr="009A1D53" w:rsidRDefault="00A21AE1" w:rsidP="00A21AE1">
            <w:pPr>
              <w:pStyle w:val="NormaleWeb"/>
              <w:spacing w:beforeAutospacing="0" w:afterAutospacing="0"/>
              <w:jc w:val="both"/>
              <w:rPr>
                <w:rFonts w:asciiTheme="minorHAnsi" w:hAnsiTheme="minorHAnsi" w:cstheme="minorHAnsi"/>
                <w:b w:val="0"/>
                <w:bCs w:val="0"/>
                <w:color w:val="000000" w:themeColor="text1"/>
                <w:sz w:val="22"/>
                <w:szCs w:val="22"/>
              </w:rPr>
            </w:pPr>
            <w:r w:rsidRPr="009A1D53">
              <w:rPr>
                <w:rFonts w:asciiTheme="minorHAnsi" w:hAnsiTheme="minorHAnsi" w:cstheme="minorHAnsi"/>
                <w:b w:val="0"/>
                <w:bCs w:val="0"/>
                <w:color w:val="000000" w:themeColor="text1"/>
                <w:sz w:val="22"/>
                <w:szCs w:val="22"/>
              </w:rPr>
              <w:t xml:space="preserve">Adesione </w:t>
            </w:r>
            <w:r>
              <w:rPr>
                <w:rFonts w:asciiTheme="minorHAnsi" w:hAnsiTheme="minorHAnsi" w:cstheme="minorHAnsi"/>
                <w:b w:val="0"/>
                <w:bCs w:val="0"/>
                <w:color w:val="000000" w:themeColor="text1"/>
                <w:sz w:val="22"/>
                <w:szCs w:val="22"/>
              </w:rPr>
              <w:t xml:space="preserve">della AFT al “bilancio di salute” per elevare il grado di </w:t>
            </w:r>
            <w:r w:rsidRPr="00A21AE1">
              <w:rPr>
                <w:rFonts w:asciiTheme="minorHAnsi" w:hAnsiTheme="minorHAnsi" w:cstheme="minorHAnsi"/>
                <w:b w:val="0"/>
                <w:bCs w:val="0"/>
                <w:i/>
                <w:color w:val="000000" w:themeColor="text1"/>
                <w:sz w:val="22"/>
                <w:szCs w:val="22"/>
              </w:rPr>
              <w:t>Copertura Screening oncologici</w:t>
            </w:r>
          </w:p>
        </w:tc>
        <w:tc>
          <w:tcPr>
            <w:tcW w:w="1740" w:type="dxa"/>
          </w:tcPr>
          <w:p w14:paraId="1AA9A1EA" w14:textId="77777777" w:rsidR="00A21AE1" w:rsidRPr="009A1D53" w:rsidRDefault="00A21AE1" w:rsidP="00B00DEF">
            <w:pPr>
              <w:pStyle w:val="NormaleWeb"/>
              <w:spacing w:beforeAutospacing="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szCs w:val="22"/>
              </w:rPr>
            </w:pPr>
            <w:r w:rsidRPr="009A1D53">
              <w:rPr>
                <w:rFonts w:asciiTheme="minorHAnsi" w:hAnsiTheme="minorHAnsi" w:cstheme="minorHAnsi"/>
                <w:bCs/>
                <w:color w:val="000000" w:themeColor="text1"/>
                <w:sz w:val="22"/>
                <w:szCs w:val="22"/>
              </w:rPr>
              <w:t>50</w:t>
            </w:r>
          </w:p>
        </w:tc>
        <w:tc>
          <w:tcPr>
            <w:tcW w:w="5467" w:type="dxa"/>
          </w:tcPr>
          <w:p w14:paraId="78B54D2B" w14:textId="2A48AB48" w:rsidR="00A21AE1" w:rsidRPr="009A1D53" w:rsidRDefault="00A21AE1" w:rsidP="00A21AE1">
            <w:pPr>
              <w:pStyle w:val="NormaleWeb"/>
              <w:spacing w:beforeAutospacing="0" w:afterAutospacing="0"/>
              <w:jc w:val="both"/>
              <w:cnfStyle w:val="000000000000" w:firstRow="0" w:lastRow="0" w:firstColumn="0" w:lastColumn="0" w:oddVBand="0" w:evenVBand="0" w:oddHBand="0" w:evenHBand="0" w:firstRowFirstColumn="0" w:firstRowLastColumn="0" w:lastRowFirstColumn="0" w:lastRowLastColumn="0"/>
            </w:pPr>
            <w:r w:rsidRPr="009A1D53">
              <w:rPr>
                <w:rFonts w:ascii="Calibri" w:eastAsia="Calibri" w:hAnsi="Calibri" w:cs="Calibri"/>
                <w:sz w:val="22"/>
                <w:szCs w:val="22"/>
              </w:rPr>
              <w:t xml:space="preserve">Compilazione ed invio al Dipartimento Cure Primarie del format di ADESIONE </w:t>
            </w:r>
            <w:r>
              <w:rPr>
                <w:rFonts w:ascii="Calibri" w:eastAsia="Calibri" w:hAnsi="Calibri" w:cs="Calibri"/>
                <w:sz w:val="22"/>
                <w:szCs w:val="22"/>
              </w:rPr>
              <w:t xml:space="preserve">della AFT al “bilancio di salute” </w:t>
            </w:r>
          </w:p>
        </w:tc>
      </w:tr>
      <w:tr w:rsidR="00A21AE1" w:rsidRPr="009A1D53" w14:paraId="1E0DF431" w14:textId="77777777" w:rsidTr="00B00DEF">
        <w:trPr>
          <w:jc w:val="center"/>
        </w:trPr>
        <w:tc>
          <w:tcPr>
            <w:cnfStyle w:val="001000000000" w:firstRow="0" w:lastRow="0" w:firstColumn="1" w:lastColumn="0" w:oddVBand="0" w:evenVBand="0" w:oddHBand="0" w:evenHBand="0" w:firstRowFirstColumn="0" w:firstRowLastColumn="0" w:lastRowFirstColumn="0" w:lastRowLastColumn="0"/>
            <w:tcW w:w="3425" w:type="dxa"/>
            <w:vMerge/>
          </w:tcPr>
          <w:p w14:paraId="67EA0A53" w14:textId="77777777" w:rsidR="00A21AE1" w:rsidRPr="009A1D53" w:rsidRDefault="00A21AE1" w:rsidP="00B00DEF">
            <w:pPr>
              <w:pStyle w:val="NormaleWeb"/>
              <w:spacing w:beforeAutospacing="0" w:afterAutospacing="0"/>
              <w:jc w:val="both"/>
              <w:rPr>
                <w:rFonts w:asciiTheme="minorHAnsi" w:hAnsiTheme="minorHAnsi" w:cstheme="minorBidi"/>
                <w:b w:val="0"/>
                <w:bCs w:val="0"/>
                <w:strike/>
                <w:color w:val="000000" w:themeColor="text1"/>
                <w:sz w:val="22"/>
                <w:szCs w:val="22"/>
              </w:rPr>
            </w:pPr>
          </w:p>
        </w:tc>
        <w:tc>
          <w:tcPr>
            <w:tcW w:w="1740" w:type="dxa"/>
          </w:tcPr>
          <w:p w14:paraId="189B0266" w14:textId="77777777" w:rsidR="00A21AE1" w:rsidRPr="009A1D53" w:rsidRDefault="00A21AE1" w:rsidP="00B00DEF">
            <w:pPr>
              <w:pStyle w:val="NormaleWeb"/>
              <w:spacing w:beforeAutospacing="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szCs w:val="22"/>
              </w:rPr>
            </w:pPr>
            <w:r w:rsidRPr="009A1D53">
              <w:rPr>
                <w:rFonts w:asciiTheme="minorHAnsi" w:hAnsiTheme="minorHAnsi" w:cstheme="minorHAnsi"/>
                <w:bCs/>
                <w:color w:val="000000" w:themeColor="text1"/>
                <w:sz w:val="22"/>
                <w:szCs w:val="22"/>
              </w:rPr>
              <w:t>50</w:t>
            </w:r>
          </w:p>
        </w:tc>
        <w:tc>
          <w:tcPr>
            <w:tcW w:w="5467" w:type="dxa"/>
          </w:tcPr>
          <w:p w14:paraId="0DB7BA48" w14:textId="533F4C98" w:rsidR="00A21AE1" w:rsidRPr="00A82AF5" w:rsidRDefault="00A21AE1" w:rsidP="00A21AE1">
            <w:pPr>
              <w:spacing w:before="240" w:after="240"/>
              <w:contextualSpacing/>
              <w:jc w:val="both"/>
              <w:cnfStyle w:val="000000000000" w:firstRow="0" w:lastRow="0" w:firstColumn="0" w:lastColumn="0" w:oddVBand="0" w:evenVBand="0" w:oddHBand="0" w:evenHBand="0" w:firstRowFirstColumn="0" w:firstRowLastColumn="0" w:lastRowFirstColumn="0" w:lastRowLastColumn="0"/>
              <w:rPr>
                <w:rFonts w:cs="Calibri"/>
              </w:rPr>
            </w:pPr>
            <w:r>
              <w:rPr>
                <w:rFonts w:cs="Calibri"/>
              </w:rPr>
              <w:t>Invio ad ASST</w:t>
            </w:r>
            <w:r w:rsidRPr="009A1D53">
              <w:rPr>
                <w:rFonts w:cs="Calibri"/>
              </w:rPr>
              <w:t xml:space="preserve">, entro il </w:t>
            </w:r>
            <w:r>
              <w:rPr>
                <w:rFonts w:cs="Calibri"/>
              </w:rPr>
              <w:t>31 gennaio</w:t>
            </w:r>
            <w:r w:rsidRPr="009A1D53">
              <w:rPr>
                <w:rFonts w:cs="Calibri"/>
              </w:rPr>
              <w:t xml:space="preserve"> 202</w:t>
            </w:r>
            <w:r>
              <w:rPr>
                <w:rFonts w:cs="Calibri"/>
              </w:rPr>
              <w:t>6</w:t>
            </w:r>
            <w:r w:rsidRPr="009A1D53">
              <w:rPr>
                <w:rFonts w:cs="Calibri"/>
              </w:rPr>
              <w:t xml:space="preserve">, </w:t>
            </w:r>
            <w:r w:rsidR="00FF1299">
              <w:rPr>
                <w:rFonts w:cs="Calibri"/>
              </w:rPr>
              <w:t xml:space="preserve">della </w:t>
            </w:r>
            <w:r w:rsidR="00FF1299">
              <w:rPr>
                <w:rFonts w:asciiTheme="minorHAnsi" w:hAnsiTheme="minorHAnsi" w:cstheme="minorHAnsi"/>
              </w:rPr>
              <w:t xml:space="preserve">relazione anonima e completa dei “recuperi” ottenuti e delle ragioni prevalenti di diniego allo screening ad esito del “bilancio di salute” effettuato ad almeno l’80% degli assistiti </w:t>
            </w:r>
            <w:r w:rsidR="00010D0C">
              <w:rPr>
                <w:rFonts w:asciiTheme="minorHAnsi" w:hAnsiTheme="minorHAnsi" w:cstheme="minorHAnsi"/>
              </w:rPr>
              <w:t xml:space="preserve">target </w:t>
            </w:r>
            <w:r w:rsidR="00FF1299">
              <w:rPr>
                <w:rFonts w:asciiTheme="minorHAnsi" w:hAnsiTheme="minorHAnsi" w:cstheme="minorHAnsi"/>
              </w:rPr>
              <w:t>della AFT</w:t>
            </w:r>
          </w:p>
          <w:p w14:paraId="5C720A9C" w14:textId="0EDDE30D" w:rsidR="00A21AE1" w:rsidRPr="00A82AF5" w:rsidRDefault="00A21AE1" w:rsidP="00B00DEF">
            <w:pPr>
              <w:jc w:val="both"/>
              <w:cnfStyle w:val="000000000000" w:firstRow="0" w:lastRow="0" w:firstColumn="0" w:lastColumn="0" w:oddVBand="0" w:evenVBand="0" w:oddHBand="0" w:evenHBand="0" w:firstRowFirstColumn="0" w:firstRowLastColumn="0" w:lastRowFirstColumn="0" w:lastRowLastColumn="0"/>
              <w:rPr>
                <w:rFonts w:cs="Calibri"/>
              </w:rPr>
            </w:pPr>
          </w:p>
        </w:tc>
      </w:tr>
    </w:tbl>
    <w:p w14:paraId="4C7B05B7" w14:textId="77777777" w:rsidR="00FF1299" w:rsidRDefault="00FF1299" w:rsidP="009A1D53">
      <w:pPr>
        <w:pStyle w:val="paragraph"/>
        <w:spacing w:beforeAutospacing="0" w:after="0" w:afterAutospacing="0"/>
        <w:jc w:val="both"/>
        <w:textAlignment w:val="baseline"/>
        <w:rPr>
          <w:rFonts w:asciiTheme="minorHAnsi" w:hAnsiTheme="minorHAnsi" w:cstheme="minorHAnsi"/>
          <w:sz w:val="22"/>
          <w:szCs w:val="22"/>
        </w:rPr>
      </w:pPr>
    </w:p>
    <w:p w14:paraId="02E1C4C3" w14:textId="52AF16F1" w:rsidR="00A21AE1" w:rsidRDefault="00FF1299" w:rsidP="009A1D53">
      <w:pPr>
        <w:pStyle w:val="paragraph"/>
        <w:spacing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La </w:t>
      </w:r>
      <w:proofErr w:type="spellStart"/>
      <w:r>
        <w:rPr>
          <w:rFonts w:asciiTheme="minorHAnsi" w:hAnsiTheme="minorHAnsi" w:cstheme="minorHAnsi"/>
          <w:sz w:val="22"/>
          <w:szCs w:val="22"/>
        </w:rPr>
        <w:t>premialità</w:t>
      </w:r>
      <w:proofErr w:type="spellEnd"/>
      <w:r>
        <w:rPr>
          <w:rFonts w:asciiTheme="minorHAnsi" w:hAnsiTheme="minorHAnsi" w:cstheme="minorHAnsi"/>
          <w:sz w:val="22"/>
          <w:szCs w:val="22"/>
        </w:rPr>
        <w:t xml:space="preserve"> pari ad Euro </w:t>
      </w:r>
      <w:r>
        <w:rPr>
          <w:rFonts w:asciiTheme="minorHAnsi" w:hAnsiTheme="minorHAnsi" w:cstheme="minorHAnsi"/>
          <w:b/>
          <w:sz w:val="22"/>
          <w:szCs w:val="22"/>
        </w:rPr>
        <w:t>1.5</w:t>
      </w:r>
      <w:r w:rsidRPr="00FF1299">
        <w:rPr>
          <w:rFonts w:asciiTheme="minorHAnsi" w:hAnsiTheme="minorHAnsi" w:cstheme="minorHAnsi"/>
          <w:b/>
          <w:sz w:val="22"/>
          <w:szCs w:val="22"/>
        </w:rPr>
        <w:t>00,00</w:t>
      </w:r>
      <w:r>
        <w:rPr>
          <w:rFonts w:asciiTheme="minorHAnsi" w:hAnsiTheme="minorHAnsi" w:cstheme="minorHAnsi"/>
          <w:sz w:val="22"/>
          <w:szCs w:val="22"/>
        </w:rPr>
        <w:t xml:space="preserve"> per Medico a valere sui fondi di progetto per l’attività su base oraria.</w:t>
      </w:r>
    </w:p>
    <w:p w14:paraId="4FE57EFC" w14:textId="77777777" w:rsidR="0090739B" w:rsidRDefault="0090739B" w:rsidP="009A1D53">
      <w:pPr>
        <w:pStyle w:val="paragraph"/>
        <w:spacing w:beforeAutospacing="0" w:after="0" w:afterAutospacing="0"/>
        <w:jc w:val="both"/>
        <w:textAlignment w:val="baseline"/>
        <w:rPr>
          <w:rFonts w:asciiTheme="minorHAnsi" w:hAnsiTheme="minorHAnsi" w:cstheme="minorHAnsi"/>
          <w:b/>
          <w:i/>
          <w:sz w:val="22"/>
          <w:szCs w:val="22"/>
        </w:rPr>
      </w:pPr>
    </w:p>
    <w:p w14:paraId="38ACAB95" w14:textId="77777777" w:rsidR="00010D0C" w:rsidRDefault="00010D0C" w:rsidP="009A1D53">
      <w:pPr>
        <w:pStyle w:val="paragraph"/>
        <w:spacing w:beforeAutospacing="0" w:after="0" w:afterAutospacing="0"/>
        <w:jc w:val="both"/>
        <w:textAlignment w:val="baseline"/>
        <w:rPr>
          <w:rFonts w:asciiTheme="minorHAnsi" w:hAnsiTheme="minorHAnsi" w:cstheme="minorHAnsi"/>
          <w:b/>
          <w:i/>
          <w:sz w:val="22"/>
          <w:szCs w:val="22"/>
        </w:rPr>
      </w:pPr>
    </w:p>
    <w:p w14:paraId="6E411192" w14:textId="3F9AB2C8" w:rsidR="00B5372A" w:rsidRDefault="00B5372A" w:rsidP="009A1D53">
      <w:pPr>
        <w:pStyle w:val="paragraph"/>
        <w:spacing w:beforeAutospacing="0" w:after="0" w:afterAutospacing="0"/>
        <w:jc w:val="both"/>
        <w:textAlignment w:val="baseline"/>
        <w:rPr>
          <w:rFonts w:asciiTheme="minorHAnsi" w:hAnsiTheme="minorHAnsi" w:cstheme="minorHAnsi"/>
          <w:sz w:val="22"/>
          <w:szCs w:val="22"/>
        </w:rPr>
      </w:pPr>
      <w:r w:rsidRPr="00B5372A">
        <w:rPr>
          <w:rFonts w:asciiTheme="minorHAnsi" w:hAnsiTheme="minorHAnsi" w:cstheme="minorHAnsi"/>
          <w:b/>
          <w:i/>
          <w:sz w:val="22"/>
          <w:szCs w:val="22"/>
        </w:rPr>
        <w:t>Contrasto all’Antibiotico resistenza</w:t>
      </w:r>
      <w:r>
        <w:rPr>
          <w:rFonts w:asciiTheme="minorHAnsi" w:hAnsiTheme="minorHAnsi" w:cstheme="minorHAnsi"/>
          <w:sz w:val="22"/>
          <w:szCs w:val="22"/>
        </w:rPr>
        <w:t xml:space="preserve"> </w:t>
      </w:r>
    </w:p>
    <w:p w14:paraId="74B25495" w14:textId="669B8A35" w:rsidR="00EB65D5" w:rsidRDefault="00EB65D5" w:rsidP="00B5372A">
      <w:pPr>
        <w:pStyle w:val="paragraph"/>
        <w:jc w:val="both"/>
        <w:textAlignment w:val="baseline"/>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Tali attività compongono il Progetto di Governo Clinico per l’anno in corso.</w:t>
      </w:r>
    </w:p>
    <w:p w14:paraId="57EEE79F" w14:textId="77777777" w:rsidR="00B5372A" w:rsidRPr="009A1D53" w:rsidRDefault="00B5372A" w:rsidP="00B5372A">
      <w:pPr>
        <w:pStyle w:val="paragraph"/>
        <w:jc w:val="both"/>
        <w:textAlignment w:val="baseline"/>
        <w:rPr>
          <w:rFonts w:asciiTheme="minorHAnsi" w:hAnsiTheme="minorHAnsi" w:cstheme="minorBidi"/>
          <w:color w:val="000000" w:themeColor="text1"/>
          <w:sz w:val="22"/>
          <w:szCs w:val="22"/>
        </w:rPr>
      </w:pPr>
      <w:r w:rsidRPr="009A1D53">
        <w:rPr>
          <w:rFonts w:asciiTheme="minorHAnsi" w:hAnsiTheme="minorHAnsi" w:cstheme="minorBidi"/>
          <w:color w:val="000000" w:themeColor="text1"/>
          <w:sz w:val="22"/>
          <w:szCs w:val="22"/>
        </w:rPr>
        <w:t>L’OMS propone di implementare la diffusione presso i Medici del manuale “</w:t>
      </w:r>
      <w:proofErr w:type="spellStart"/>
      <w:r w:rsidRPr="009A1D53">
        <w:rPr>
          <w:rFonts w:asciiTheme="minorHAnsi" w:hAnsiTheme="minorHAnsi" w:cstheme="minorBidi"/>
          <w:color w:val="000000" w:themeColor="text1"/>
          <w:sz w:val="22"/>
          <w:szCs w:val="22"/>
        </w:rPr>
        <w:t>AWaRe</w:t>
      </w:r>
      <w:proofErr w:type="spellEnd"/>
      <w:r w:rsidRPr="009A1D53">
        <w:rPr>
          <w:rFonts w:asciiTheme="minorHAnsi" w:hAnsiTheme="minorHAnsi" w:cstheme="minorBidi"/>
          <w:color w:val="000000" w:themeColor="text1"/>
          <w:sz w:val="22"/>
          <w:szCs w:val="22"/>
        </w:rPr>
        <w:t xml:space="preserve">” (tradotto da AIFA in italiano): una guida sugli antibiotici di prima e seconda scelta per le infezioni comuni. Nel manuale gli antibiotici vengono suddivisi in 3 categorie: </w:t>
      </w:r>
    </w:p>
    <w:p w14:paraId="0338B261" w14:textId="77777777" w:rsidR="00B5372A" w:rsidRPr="009A1D53" w:rsidRDefault="00B5372A" w:rsidP="0067743C">
      <w:pPr>
        <w:pStyle w:val="paragraph"/>
        <w:numPr>
          <w:ilvl w:val="0"/>
          <w:numId w:val="4"/>
        </w:numPr>
        <w:jc w:val="both"/>
        <w:textAlignment w:val="baseline"/>
        <w:rPr>
          <w:rFonts w:asciiTheme="minorHAnsi" w:hAnsiTheme="minorHAnsi" w:cstheme="minorHAnsi"/>
          <w:bCs/>
          <w:color w:val="000000" w:themeColor="text1"/>
          <w:sz w:val="22"/>
          <w:szCs w:val="22"/>
        </w:rPr>
      </w:pPr>
      <w:r w:rsidRPr="009A1D53">
        <w:rPr>
          <w:rFonts w:asciiTheme="minorHAnsi" w:hAnsiTheme="minorHAnsi" w:cstheme="minorHAnsi"/>
          <w:bCs/>
          <w:color w:val="000000" w:themeColor="text1"/>
          <w:sz w:val="22"/>
          <w:szCs w:val="22"/>
        </w:rPr>
        <w:t>La prima denominata “Access”, la cui prescrizione dovrebbe raggiungere il 60% del totale della prescrizione antibiotica</w:t>
      </w:r>
    </w:p>
    <w:p w14:paraId="311FF121" w14:textId="77777777" w:rsidR="00B5372A" w:rsidRPr="009A1D53" w:rsidRDefault="00B5372A" w:rsidP="0067743C">
      <w:pPr>
        <w:pStyle w:val="paragraph"/>
        <w:numPr>
          <w:ilvl w:val="0"/>
          <w:numId w:val="4"/>
        </w:numPr>
        <w:jc w:val="both"/>
        <w:textAlignment w:val="baseline"/>
        <w:rPr>
          <w:rFonts w:asciiTheme="minorHAnsi" w:hAnsiTheme="minorHAnsi" w:cstheme="minorHAnsi"/>
          <w:bCs/>
          <w:color w:val="000000" w:themeColor="text1"/>
          <w:sz w:val="22"/>
          <w:szCs w:val="22"/>
        </w:rPr>
      </w:pPr>
      <w:r w:rsidRPr="009A1D53">
        <w:rPr>
          <w:rFonts w:asciiTheme="minorHAnsi" w:hAnsiTheme="minorHAnsi" w:cstheme="minorHAnsi"/>
          <w:bCs/>
          <w:color w:val="000000" w:themeColor="text1"/>
          <w:sz w:val="22"/>
          <w:szCs w:val="22"/>
        </w:rPr>
        <w:t xml:space="preserve">La seconda classe denominata “Watch” che comprende antibiotici da prescrivere con maggiore </w:t>
      </w:r>
      <w:r>
        <w:rPr>
          <w:rFonts w:asciiTheme="minorHAnsi" w:hAnsiTheme="minorHAnsi" w:cstheme="minorHAnsi"/>
          <w:bCs/>
          <w:color w:val="000000" w:themeColor="text1"/>
          <w:sz w:val="22"/>
          <w:szCs w:val="22"/>
        </w:rPr>
        <w:t>attenzione</w:t>
      </w:r>
    </w:p>
    <w:p w14:paraId="31725A2E" w14:textId="77777777" w:rsidR="00B5372A" w:rsidRPr="009A1D53" w:rsidRDefault="00B5372A" w:rsidP="0067743C">
      <w:pPr>
        <w:pStyle w:val="paragraph"/>
        <w:numPr>
          <w:ilvl w:val="0"/>
          <w:numId w:val="4"/>
        </w:numPr>
        <w:jc w:val="both"/>
        <w:textAlignment w:val="baseline"/>
        <w:rPr>
          <w:rFonts w:asciiTheme="minorHAnsi" w:hAnsiTheme="minorHAnsi" w:cstheme="minorHAnsi"/>
          <w:bCs/>
          <w:color w:val="000000" w:themeColor="text1"/>
          <w:sz w:val="22"/>
          <w:szCs w:val="22"/>
        </w:rPr>
      </w:pPr>
      <w:r w:rsidRPr="009A1D53">
        <w:rPr>
          <w:rFonts w:asciiTheme="minorHAnsi" w:hAnsiTheme="minorHAnsi" w:cstheme="minorHAnsi"/>
          <w:bCs/>
          <w:color w:val="000000" w:themeColor="text1"/>
          <w:sz w:val="22"/>
          <w:szCs w:val="22"/>
        </w:rPr>
        <w:t>L’ultima classe denominata “</w:t>
      </w:r>
      <w:proofErr w:type="spellStart"/>
      <w:r w:rsidRPr="009A1D53">
        <w:rPr>
          <w:rFonts w:asciiTheme="minorHAnsi" w:hAnsiTheme="minorHAnsi" w:cstheme="minorHAnsi"/>
          <w:bCs/>
          <w:color w:val="000000" w:themeColor="text1"/>
          <w:sz w:val="22"/>
          <w:szCs w:val="22"/>
        </w:rPr>
        <w:t>Reserve</w:t>
      </w:r>
      <w:proofErr w:type="spellEnd"/>
      <w:r w:rsidRPr="009A1D53">
        <w:rPr>
          <w:rFonts w:asciiTheme="minorHAnsi" w:hAnsiTheme="minorHAnsi" w:cstheme="minorHAnsi"/>
          <w:bCs/>
          <w:color w:val="000000" w:themeColor="text1"/>
          <w:sz w:val="22"/>
          <w:szCs w:val="22"/>
        </w:rPr>
        <w:t>” che comprende antibiotici da utilizzare solo in casi particolari</w:t>
      </w:r>
    </w:p>
    <w:p w14:paraId="0AFA635E" w14:textId="77777777" w:rsidR="00B5372A" w:rsidRPr="009A1D53" w:rsidRDefault="00B5372A" w:rsidP="00B5372A">
      <w:pPr>
        <w:pStyle w:val="paragraph"/>
        <w:jc w:val="both"/>
        <w:textAlignment w:val="baseline"/>
        <w:rPr>
          <w:rFonts w:asciiTheme="minorHAnsi" w:hAnsiTheme="minorHAnsi" w:cstheme="minorHAnsi"/>
          <w:bCs/>
          <w:color w:val="000000" w:themeColor="text1"/>
          <w:sz w:val="22"/>
          <w:szCs w:val="22"/>
        </w:rPr>
      </w:pPr>
      <w:r w:rsidRPr="009A1D53">
        <w:rPr>
          <w:rFonts w:asciiTheme="minorHAnsi" w:hAnsiTheme="minorHAnsi" w:cstheme="minorHAnsi"/>
          <w:bCs/>
          <w:color w:val="000000" w:themeColor="text1"/>
          <w:sz w:val="22"/>
          <w:szCs w:val="22"/>
        </w:rPr>
        <w:t>Nel General Program of Work 2019-2023 sul tema, l’OMS ha adottato un nuovo obiettivo per il sistema sanitario in funzione delle indicazioni del manuale “</w:t>
      </w:r>
      <w:proofErr w:type="spellStart"/>
      <w:r w:rsidRPr="009A1D53">
        <w:rPr>
          <w:rFonts w:asciiTheme="minorHAnsi" w:hAnsiTheme="minorHAnsi" w:cstheme="minorHAnsi"/>
          <w:bCs/>
          <w:color w:val="000000" w:themeColor="text1"/>
          <w:sz w:val="22"/>
          <w:szCs w:val="22"/>
        </w:rPr>
        <w:t>AWaRe</w:t>
      </w:r>
      <w:proofErr w:type="spellEnd"/>
      <w:r w:rsidRPr="009A1D53">
        <w:rPr>
          <w:rFonts w:asciiTheme="minorHAnsi" w:hAnsiTheme="minorHAnsi" w:cstheme="minorHAnsi"/>
          <w:bCs/>
          <w:color w:val="000000" w:themeColor="text1"/>
          <w:sz w:val="22"/>
          <w:szCs w:val="22"/>
        </w:rPr>
        <w:t>”, in base al quale sulla prescrizione totale di antibiotici la percentuale di quelli appartenenti alla categoria “Access” dovrebbe essere maggiore del 60% entro fine 2023.</w:t>
      </w:r>
    </w:p>
    <w:p w14:paraId="42C2B9A8" w14:textId="77777777" w:rsidR="00B5372A" w:rsidRPr="009A1D53" w:rsidRDefault="00B5372A" w:rsidP="00B5372A">
      <w:pPr>
        <w:pStyle w:val="paragraph"/>
        <w:jc w:val="both"/>
        <w:textAlignment w:val="baseline"/>
        <w:rPr>
          <w:rFonts w:asciiTheme="minorHAnsi" w:hAnsiTheme="minorHAnsi" w:cstheme="minorHAnsi"/>
          <w:bCs/>
          <w:color w:val="000000" w:themeColor="text1"/>
          <w:sz w:val="22"/>
          <w:szCs w:val="22"/>
        </w:rPr>
      </w:pPr>
      <w:r w:rsidRPr="009A1D53">
        <w:rPr>
          <w:rFonts w:asciiTheme="minorHAnsi" w:hAnsiTheme="minorHAnsi" w:cstheme="minorHAnsi"/>
          <w:bCs/>
          <w:color w:val="000000" w:themeColor="text1"/>
          <w:sz w:val="22"/>
          <w:szCs w:val="22"/>
        </w:rPr>
        <w:t>La progettualità prevede la FORMAZIONE dei Medici da parte della Direzione Generale Welfare in raccordo con i Servizi di Malattie Infettive delle ASST e il MONITORAGGIO prescrittivo in raccordo con i Servizi FARMACEUTICI delle ATS.</w:t>
      </w:r>
    </w:p>
    <w:p w14:paraId="70B77AD4" w14:textId="77777777" w:rsidR="00B5372A" w:rsidRPr="002631FD" w:rsidRDefault="00B5372A" w:rsidP="00B5372A">
      <w:pPr>
        <w:shd w:val="clear" w:color="auto" w:fill="FFFFFF"/>
        <w:spacing w:after="0" w:line="240" w:lineRule="auto"/>
        <w:textAlignment w:val="baseline"/>
        <w:rPr>
          <w:rFonts w:asciiTheme="minorHAnsi" w:eastAsia="Times New Roman" w:hAnsiTheme="minorHAnsi" w:cstheme="minorBidi"/>
          <w:kern w:val="0"/>
          <w:lang w:eastAsia="it-IT"/>
        </w:rPr>
      </w:pPr>
      <w:r w:rsidRPr="002631FD">
        <w:rPr>
          <w:rFonts w:asciiTheme="minorHAnsi" w:eastAsia="Times New Roman" w:hAnsiTheme="minorHAnsi" w:cstheme="minorBidi"/>
          <w:kern w:val="0"/>
          <w:lang w:eastAsia="it-IT"/>
        </w:rPr>
        <w:t>Il manuale AWARE è liberamente scaricabile a questo link:</w:t>
      </w:r>
    </w:p>
    <w:p w14:paraId="49F00995" w14:textId="77777777" w:rsidR="00B5372A" w:rsidRPr="002631FD" w:rsidRDefault="00821E71" w:rsidP="00B5372A">
      <w:pPr>
        <w:shd w:val="clear" w:color="auto" w:fill="FFFFFF"/>
        <w:spacing w:after="0" w:line="240" w:lineRule="auto"/>
        <w:textAlignment w:val="baseline"/>
        <w:rPr>
          <w:rFonts w:asciiTheme="minorHAnsi" w:eastAsia="Times New Roman" w:hAnsiTheme="minorHAnsi" w:cstheme="minorBidi"/>
          <w:kern w:val="0"/>
          <w:u w:val="single"/>
          <w:lang w:eastAsia="it-IT"/>
        </w:rPr>
      </w:pPr>
      <w:hyperlink r:id="rId8" w:tgtFrame="_blank" w:history="1">
        <w:r w:rsidR="00B5372A" w:rsidRPr="00C85FB3">
          <w:rPr>
            <w:rFonts w:asciiTheme="minorHAnsi" w:eastAsia="Times New Roman" w:hAnsiTheme="minorHAnsi" w:cstheme="minorBidi"/>
            <w:color w:val="4472C4" w:themeColor="accent1"/>
            <w:kern w:val="0"/>
            <w:u w:val="single"/>
            <w:lang w:eastAsia="it-IT"/>
          </w:rPr>
          <w:t>https://www.aifa.gov.it/documents/20142/1811463/Manuale_antibiotici_AWaRe.pdf</w:t>
        </w:r>
      </w:hyperlink>
    </w:p>
    <w:p w14:paraId="79B0035C" w14:textId="77777777" w:rsidR="00EB65D5" w:rsidRDefault="00EB65D5" w:rsidP="00EB65D5">
      <w:pPr>
        <w:pStyle w:val="NormaleWeb"/>
        <w:spacing w:beforeAutospacing="0" w:after="0" w:afterAutospacing="0"/>
        <w:jc w:val="both"/>
        <w:rPr>
          <w:rFonts w:asciiTheme="minorHAnsi" w:hAnsiTheme="minorHAnsi" w:cstheme="minorHAnsi"/>
          <w:bCs/>
          <w:sz w:val="22"/>
          <w:szCs w:val="22"/>
        </w:rPr>
      </w:pPr>
    </w:p>
    <w:p w14:paraId="511B2849" w14:textId="5E9A8AE2" w:rsidR="00EB65D5" w:rsidRPr="009A1D53" w:rsidRDefault="00EB65D5" w:rsidP="00EB65D5">
      <w:pPr>
        <w:pStyle w:val="NormaleWeb"/>
        <w:spacing w:beforeAutospacing="0" w:after="0" w:afterAutospacing="0"/>
        <w:jc w:val="both"/>
        <w:rPr>
          <w:rFonts w:asciiTheme="minorHAnsi" w:hAnsiTheme="minorHAnsi" w:cstheme="minorHAnsi"/>
          <w:kern w:val="24"/>
          <w:sz w:val="22"/>
          <w:szCs w:val="22"/>
        </w:rPr>
      </w:pPr>
      <w:r w:rsidRPr="009A1D53">
        <w:rPr>
          <w:rFonts w:asciiTheme="minorHAnsi" w:hAnsiTheme="minorHAnsi" w:cstheme="minorHAnsi"/>
          <w:bCs/>
          <w:sz w:val="22"/>
          <w:szCs w:val="22"/>
        </w:rPr>
        <w:t xml:space="preserve">La corresponsione della </w:t>
      </w:r>
      <w:r>
        <w:rPr>
          <w:rFonts w:asciiTheme="minorHAnsi" w:hAnsiTheme="minorHAnsi" w:cstheme="minorHAnsi"/>
          <w:bCs/>
          <w:sz w:val="22"/>
          <w:szCs w:val="22"/>
        </w:rPr>
        <w:t>quota</w:t>
      </w:r>
      <w:r w:rsidRPr="009A1D53">
        <w:rPr>
          <w:rFonts w:asciiTheme="minorHAnsi" w:hAnsiTheme="minorHAnsi" w:cstheme="minorHAnsi"/>
          <w:bCs/>
          <w:sz w:val="22"/>
          <w:szCs w:val="22"/>
        </w:rPr>
        <w:t xml:space="preserve"> </w:t>
      </w:r>
      <w:r>
        <w:rPr>
          <w:rFonts w:asciiTheme="minorHAnsi" w:hAnsiTheme="minorHAnsi" w:cstheme="minorHAnsi"/>
          <w:bCs/>
          <w:sz w:val="22"/>
          <w:szCs w:val="22"/>
        </w:rPr>
        <w:t xml:space="preserve">di Governo Clinico </w:t>
      </w:r>
      <w:r w:rsidRPr="009A1D53">
        <w:rPr>
          <w:rFonts w:asciiTheme="minorHAnsi" w:hAnsiTheme="minorHAnsi" w:cstheme="minorHAnsi"/>
          <w:bCs/>
          <w:sz w:val="22"/>
          <w:szCs w:val="22"/>
        </w:rPr>
        <w:t>sarà così articolata:</w:t>
      </w:r>
    </w:p>
    <w:tbl>
      <w:tblPr>
        <w:tblStyle w:val="Tabellagriglia1chiara-colore6"/>
        <w:tblW w:w="10632" w:type="dxa"/>
        <w:jc w:val="center"/>
        <w:tblLook w:val="04A0" w:firstRow="1" w:lastRow="0" w:firstColumn="1" w:lastColumn="0" w:noHBand="0" w:noVBand="1"/>
      </w:tblPr>
      <w:tblGrid>
        <w:gridCol w:w="3425"/>
        <w:gridCol w:w="1740"/>
        <w:gridCol w:w="5467"/>
      </w:tblGrid>
      <w:tr w:rsidR="00EB65D5" w:rsidRPr="009A1D53" w14:paraId="6A8542C0" w14:textId="77777777" w:rsidTr="00B00DE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25" w:type="dxa"/>
          </w:tcPr>
          <w:p w14:paraId="19E5568F" w14:textId="77777777" w:rsidR="00EB65D5" w:rsidRPr="009A1D53" w:rsidRDefault="00EB65D5" w:rsidP="00B00DEF">
            <w:pPr>
              <w:pStyle w:val="NormaleWeb"/>
              <w:spacing w:beforeAutospacing="0" w:afterAutospacing="0"/>
              <w:jc w:val="both"/>
              <w:rPr>
                <w:rFonts w:asciiTheme="minorHAnsi" w:hAnsiTheme="minorHAnsi" w:cstheme="minorHAnsi"/>
                <w:bCs w:val="0"/>
                <w:color w:val="000000" w:themeColor="text1"/>
                <w:sz w:val="22"/>
                <w:szCs w:val="22"/>
              </w:rPr>
            </w:pPr>
            <w:r w:rsidRPr="009A1D53">
              <w:rPr>
                <w:rFonts w:asciiTheme="minorHAnsi" w:hAnsiTheme="minorHAnsi" w:cstheme="minorHAnsi"/>
                <w:bCs w:val="0"/>
                <w:color w:val="000000" w:themeColor="text1"/>
                <w:sz w:val="22"/>
                <w:szCs w:val="22"/>
              </w:rPr>
              <w:t>Attività</w:t>
            </w:r>
          </w:p>
        </w:tc>
        <w:tc>
          <w:tcPr>
            <w:tcW w:w="1740" w:type="dxa"/>
          </w:tcPr>
          <w:p w14:paraId="0E365DDB" w14:textId="37DF9EDF" w:rsidR="00EB65D5" w:rsidRPr="009A1D53" w:rsidRDefault="00EB65D5" w:rsidP="00EB65D5">
            <w:pPr>
              <w:pStyle w:val="NormaleWeb"/>
              <w:spacing w:beforeAutospacing="0" w:afterAutospacing="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sz w:val="22"/>
                <w:szCs w:val="22"/>
              </w:rPr>
            </w:pPr>
            <w:r w:rsidRPr="009A1D53">
              <w:rPr>
                <w:rFonts w:asciiTheme="minorHAnsi" w:hAnsiTheme="minorHAnsi" w:cstheme="minorHAnsi"/>
                <w:bCs w:val="0"/>
                <w:color w:val="000000" w:themeColor="text1"/>
                <w:sz w:val="22"/>
                <w:szCs w:val="22"/>
              </w:rPr>
              <w:t xml:space="preserve">% Quota di </w:t>
            </w:r>
            <w:r>
              <w:rPr>
                <w:rFonts w:asciiTheme="minorHAnsi" w:hAnsiTheme="minorHAnsi" w:cstheme="minorHAnsi"/>
                <w:bCs w:val="0"/>
                <w:color w:val="000000" w:themeColor="text1"/>
                <w:sz w:val="22"/>
                <w:szCs w:val="22"/>
              </w:rPr>
              <w:t>Governo Clinico</w:t>
            </w:r>
          </w:p>
        </w:tc>
        <w:tc>
          <w:tcPr>
            <w:tcW w:w="5467" w:type="dxa"/>
          </w:tcPr>
          <w:p w14:paraId="56BB4CFC" w14:textId="77777777" w:rsidR="00EB65D5" w:rsidRPr="009A1D53" w:rsidRDefault="00EB65D5" w:rsidP="00B00DEF">
            <w:pPr>
              <w:pStyle w:val="NormaleWeb"/>
              <w:spacing w:beforeAutospacing="0" w:afterAutospacing="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sz w:val="22"/>
                <w:szCs w:val="22"/>
              </w:rPr>
            </w:pPr>
            <w:r w:rsidRPr="009A1D53">
              <w:rPr>
                <w:rFonts w:asciiTheme="minorHAnsi" w:hAnsiTheme="minorHAnsi" w:cstheme="minorHAnsi"/>
                <w:bCs w:val="0"/>
                <w:color w:val="000000" w:themeColor="text1"/>
                <w:sz w:val="22"/>
                <w:szCs w:val="22"/>
              </w:rPr>
              <w:t>Area di risultato per il singolo MMG</w:t>
            </w:r>
          </w:p>
        </w:tc>
      </w:tr>
      <w:tr w:rsidR="00EB65D5" w:rsidRPr="009A1D53" w14:paraId="139826B9" w14:textId="77777777" w:rsidTr="00B00DEF">
        <w:trPr>
          <w:jc w:val="center"/>
        </w:trPr>
        <w:tc>
          <w:tcPr>
            <w:cnfStyle w:val="001000000000" w:firstRow="0" w:lastRow="0" w:firstColumn="1" w:lastColumn="0" w:oddVBand="0" w:evenVBand="0" w:oddHBand="0" w:evenHBand="0" w:firstRowFirstColumn="0" w:firstRowLastColumn="0" w:lastRowFirstColumn="0" w:lastRowLastColumn="0"/>
            <w:tcW w:w="3425" w:type="dxa"/>
            <w:vMerge w:val="restart"/>
          </w:tcPr>
          <w:p w14:paraId="155EAC79" w14:textId="39EEB4FC" w:rsidR="00EB65D5" w:rsidRPr="009A1D53" w:rsidRDefault="00EB65D5" w:rsidP="00EB65D5">
            <w:pPr>
              <w:pStyle w:val="NormaleWeb"/>
              <w:spacing w:beforeAutospacing="0" w:afterAutospacing="0"/>
              <w:jc w:val="both"/>
              <w:rPr>
                <w:rFonts w:asciiTheme="minorHAnsi" w:hAnsiTheme="minorHAnsi" w:cstheme="minorHAnsi"/>
                <w:b w:val="0"/>
                <w:bCs w:val="0"/>
                <w:color w:val="000000" w:themeColor="text1"/>
                <w:sz w:val="22"/>
                <w:szCs w:val="22"/>
              </w:rPr>
            </w:pPr>
            <w:r w:rsidRPr="009A1D53">
              <w:rPr>
                <w:rFonts w:asciiTheme="minorHAnsi" w:hAnsiTheme="minorHAnsi" w:cstheme="minorHAnsi"/>
                <w:b w:val="0"/>
                <w:bCs w:val="0"/>
                <w:color w:val="000000" w:themeColor="text1"/>
                <w:sz w:val="22"/>
                <w:szCs w:val="22"/>
              </w:rPr>
              <w:t xml:space="preserve">Adesione </w:t>
            </w:r>
            <w:r>
              <w:rPr>
                <w:rFonts w:asciiTheme="minorHAnsi" w:hAnsiTheme="minorHAnsi" w:cstheme="minorHAnsi"/>
                <w:b w:val="0"/>
                <w:bCs w:val="0"/>
                <w:color w:val="000000" w:themeColor="text1"/>
                <w:sz w:val="22"/>
                <w:szCs w:val="22"/>
              </w:rPr>
              <w:t xml:space="preserve">del MAP al Progetto di Governo Clinico </w:t>
            </w:r>
            <w:r w:rsidRPr="00EB65D5">
              <w:rPr>
                <w:rFonts w:asciiTheme="minorHAnsi" w:hAnsiTheme="minorHAnsi" w:cstheme="minorHAnsi"/>
                <w:b w:val="0"/>
                <w:bCs w:val="0"/>
                <w:i/>
                <w:color w:val="000000" w:themeColor="text1"/>
                <w:sz w:val="22"/>
                <w:szCs w:val="22"/>
              </w:rPr>
              <w:t>Contrasto all’antibiotico resistenza</w:t>
            </w:r>
          </w:p>
        </w:tc>
        <w:tc>
          <w:tcPr>
            <w:tcW w:w="1740" w:type="dxa"/>
          </w:tcPr>
          <w:p w14:paraId="6C0B66EF" w14:textId="77777777" w:rsidR="00EB65D5" w:rsidRPr="009A1D53" w:rsidRDefault="00EB65D5" w:rsidP="00B00DEF">
            <w:pPr>
              <w:pStyle w:val="NormaleWeb"/>
              <w:spacing w:beforeAutospacing="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szCs w:val="22"/>
              </w:rPr>
            </w:pPr>
            <w:r w:rsidRPr="009A1D53">
              <w:rPr>
                <w:rFonts w:asciiTheme="minorHAnsi" w:hAnsiTheme="minorHAnsi" w:cstheme="minorHAnsi"/>
                <w:bCs/>
                <w:color w:val="000000" w:themeColor="text1"/>
                <w:sz w:val="22"/>
                <w:szCs w:val="22"/>
              </w:rPr>
              <w:t>50</w:t>
            </w:r>
          </w:p>
        </w:tc>
        <w:tc>
          <w:tcPr>
            <w:tcW w:w="5467" w:type="dxa"/>
          </w:tcPr>
          <w:p w14:paraId="0C78DBE2" w14:textId="18C87558" w:rsidR="00EB65D5" w:rsidRPr="009A1D53" w:rsidRDefault="00EB65D5" w:rsidP="00EB65D5">
            <w:pPr>
              <w:pStyle w:val="NormaleWeb"/>
              <w:spacing w:beforeAutospacing="0" w:afterAutospacing="0"/>
              <w:jc w:val="both"/>
              <w:cnfStyle w:val="000000000000" w:firstRow="0" w:lastRow="0" w:firstColumn="0" w:lastColumn="0" w:oddVBand="0" w:evenVBand="0" w:oddHBand="0" w:evenHBand="0" w:firstRowFirstColumn="0" w:firstRowLastColumn="0" w:lastRowFirstColumn="0" w:lastRowLastColumn="0"/>
            </w:pPr>
            <w:r w:rsidRPr="009A1D53">
              <w:rPr>
                <w:rFonts w:ascii="Calibri" w:eastAsia="Calibri" w:hAnsi="Calibri" w:cs="Calibri"/>
                <w:sz w:val="22"/>
                <w:szCs w:val="22"/>
              </w:rPr>
              <w:t xml:space="preserve">Compilazione ed invio al Dipartimento Cure Primarie del format di ADESIONE </w:t>
            </w:r>
            <w:r>
              <w:rPr>
                <w:rFonts w:ascii="Calibri" w:eastAsia="Calibri" w:hAnsi="Calibri" w:cs="Calibri"/>
                <w:sz w:val="22"/>
                <w:szCs w:val="22"/>
              </w:rPr>
              <w:t xml:space="preserve">al Progetto di Governo Clinico </w:t>
            </w:r>
            <w:r w:rsidRPr="00EB65D5">
              <w:rPr>
                <w:rFonts w:ascii="Calibri" w:eastAsia="Calibri" w:hAnsi="Calibri" w:cs="Calibri"/>
                <w:sz w:val="22"/>
                <w:szCs w:val="22"/>
              </w:rPr>
              <w:t>“</w:t>
            </w:r>
            <w:r w:rsidRPr="00EB65D5">
              <w:rPr>
                <w:rFonts w:asciiTheme="minorHAnsi" w:hAnsiTheme="minorHAnsi" w:cstheme="minorHAnsi"/>
                <w:bCs/>
                <w:i/>
                <w:color w:val="000000" w:themeColor="text1"/>
                <w:sz w:val="22"/>
                <w:szCs w:val="22"/>
              </w:rPr>
              <w:t>Contrasto all’antibiotico resistenza”</w:t>
            </w:r>
          </w:p>
        </w:tc>
      </w:tr>
      <w:tr w:rsidR="00EB65D5" w:rsidRPr="009A1D53" w14:paraId="22783C5A" w14:textId="77777777" w:rsidTr="00B00DEF">
        <w:trPr>
          <w:jc w:val="center"/>
        </w:trPr>
        <w:tc>
          <w:tcPr>
            <w:cnfStyle w:val="001000000000" w:firstRow="0" w:lastRow="0" w:firstColumn="1" w:lastColumn="0" w:oddVBand="0" w:evenVBand="0" w:oddHBand="0" w:evenHBand="0" w:firstRowFirstColumn="0" w:firstRowLastColumn="0" w:lastRowFirstColumn="0" w:lastRowLastColumn="0"/>
            <w:tcW w:w="3425" w:type="dxa"/>
            <w:vMerge/>
          </w:tcPr>
          <w:p w14:paraId="4F1254D5" w14:textId="77777777" w:rsidR="00EB65D5" w:rsidRPr="009A1D53" w:rsidRDefault="00EB65D5" w:rsidP="00B00DEF">
            <w:pPr>
              <w:pStyle w:val="NormaleWeb"/>
              <w:spacing w:beforeAutospacing="0" w:afterAutospacing="0"/>
              <w:jc w:val="both"/>
              <w:rPr>
                <w:rFonts w:asciiTheme="minorHAnsi" w:hAnsiTheme="minorHAnsi" w:cstheme="minorBidi"/>
                <w:b w:val="0"/>
                <w:bCs w:val="0"/>
                <w:strike/>
                <w:color w:val="000000" w:themeColor="text1"/>
                <w:sz w:val="22"/>
                <w:szCs w:val="22"/>
              </w:rPr>
            </w:pPr>
          </w:p>
        </w:tc>
        <w:tc>
          <w:tcPr>
            <w:tcW w:w="1740" w:type="dxa"/>
          </w:tcPr>
          <w:p w14:paraId="0D4D501D" w14:textId="77777777" w:rsidR="00EB65D5" w:rsidRPr="009A1D53" w:rsidRDefault="00EB65D5" w:rsidP="00B00DEF">
            <w:pPr>
              <w:pStyle w:val="NormaleWeb"/>
              <w:spacing w:beforeAutospacing="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szCs w:val="22"/>
              </w:rPr>
            </w:pPr>
            <w:r w:rsidRPr="009A1D53">
              <w:rPr>
                <w:rFonts w:asciiTheme="minorHAnsi" w:hAnsiTheme="minorHAnsi" w:cstheme="minorHAnsi"/>
                <w:bCs/>
                <w:color w:val="000000" w:themeColor="text1"/>
                <w:sz w:val="22"/>
                <w:szCs w:val="22"/>
              </w:rPr>
              <w:t>50</w:t>
            </w:r>
          </w:p>
        </w:tc>
        <w:tc>
          <w:tcPr>
            <w:tcW w:w="5467" w:type="dxa"/>
          </w:tcPr>
          <w:p w14:paraId="6D00F8AD" w14:textId="167EB2F8" w:rsidR="00EB65D5" w:rsidRPr="009A1D53" w:rsidRDefault="00EB65D5" w:rsidP="00EB65D5">
            <w:pPr>
              <w:pStyle w:val="paragraph"/>
              <w:spacing w:beforeAutospacing="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Pr>
                <w:rFonts w:asciiTheme="minorHAnsi" w:hAnsiTheme="minorHAnsi" w:cstheme="minorBidi"/>
                <w:sz w:val="22"/>
                <w:szCs w:val="22"/>
              </w:rPr>
              <w:t>Q</w:t>
            </w:r>
            <w:r w:rsidRPr="009A1D53">
              <w:rPr>
                <w:rFonts w:asciiTheme="minorHAnsi" w:hAnsiTheme="minorHAnsi" w:cstheme="minorBidi"/>
                <w:sz w:val="22"/>
                <w:szCs w:val="22"/>
              </w:rPr>
              <w:t>uota di antibiotici prescritti dal 1° ottobre al 31 dicembre 202</w:t>
            </w:r>
            <w:r>
              <w:rPr>
                <w:rFonts w:asciiTheme="minorHAnsi" w:hAnsiTheme="minorHAnsi" w:cstheme="minorBidi"/>
                <w:sz w:val="22"/>
                <w:szCs w:val="22"/>
              </w:rPr>
              <w:t>5</w:t>
            </w:r>
            <w:r w:rsidRPr="009A1D53">
              <w:rPr>
                <w:rFonts w:asciiTheme="minorHAnsi" w:hAnsiTheme="minorHAnsi" w:cstheme="minorBidi"/>
                <w:sz w:val="22"/>
                <w:szCs w:val="22"/>
              </w:rPr>
              <w:t xml:space="preserve"> in categoria Access dal singolo medico aderente al progetto supera di almeno </w:t>
            </w:r>
            <w:r>
              <w:rPr>
                <w:rFonts w:asciiTheme="minorHAnsi" w:hAnsiTheme="minorHAnsi" w:cstheme="minorBidi"/>
                <w:sz w:val="22"/>
                <w:szCs w:val="22"/>
              </w:rPr>
              <w:t>3 punti</w:t>
            </w:r>
            <w:r w:rsidRPr="009A1D53">
              <w:rPr>
                <w:rFonts w:asciiTheme="minorHAnsi" w:hAnsiTheme="minorHAnsi" w:cstheme="minorBidi"/>
                <w:sz w:val="22"/>
                <w:szCs w:val="22"/>
              </w:rPr>
              <w:t xml:space="preserve"> percentual</w:t>
            </w:r>
            <w:r>
              <w:rPr>
                <w:rFonts w:asciiTheme="minorHAnsi" w:hAnsiTheme="minorHAnsi" w:cstheme="minorBidi"/>
                <w:sz w:val="22"/>
                <w:szCs w:val="22"/>
              </w:rPr>
              <w:t>i</w:t>
            </w:r>
            <w:r w:rsidRPr="009A1D53">
              <w:rPr>
                <w:rFonts w:asciiTheme="minorHAnsi" w:hAnsiTheme="minorHAnsi" w:cstheme="minorBidi"/>
                <w:sz w:val="22"/>
                <w:szCs w:val="22"/>
              </w:rPr>
              <w:t xml:space="preserve"> la quota di antibiotici prescritti nella medesi</w:t>
            </w:r>
            <w:r>
              <w:rPr>
                <w:rFonts w:asciiTheme="minorHAnsi" w:hAnsiTheme="minorHAnsi" w:cstheme="minorBidi"/>
                <w:sz w:val="22"/>
                <w:szCs w:val="22"/>
              </w:rPr>
              <w:t>ma categoria al 31 dicembre 2024</w:t>
            </w:r>
            <w:r w:rsidRPr="009A1D53">
              <w:rPr>
                <w:rFonts w:asciiTheme="minorHAnsi" w:hAnsiTheme="minorHAnsi" w:cstheme="minorBidi"/>
                <w:sz w:val="22"/>
                <w:szCs w:val="22"/>
              </w:rPr>
              <w:t xml:space="preserve">. </w:t>
            </w:r>
          </w:p>
          <w:p w14:paraId="5950E4E8" w14:textId="77777777" w:rsidR="00EB65D5" w:rsidRPr="009A1D53" w:rsidRDefault="00EB65D5" w:rsidP="00EB65D5">
            <w:pPr>
              <w:pStyle w:val="paragraph"/>
              <w:spacing w:beforeAutospacing="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9A1D53">
              <w:rPr>
                <w:rFonts w:asciiTheme="minorHAnsi" w:hAnsiTheme="minorHAnsi" w:cstheme="minorBidi"/>
                <w:sz w:val="22"/>
                <w:szCs w:val="22"/>
              </w:rPr>
              <w:lastRenderedPageBreak/>
              <w:t xml:space="preserve">Per il Medico che già rispetti i criteri </w:t>
            </w:r>
            <w:proofErr w:type="spellStart"/>
            <w:r w:rsidRPr="009A1D53">
              <w:rPr>
                <w:rFonts w:asciiTheme="minorHAnsi" w:hAnsiTheme="minorHAnsi" w:cstheme="minorBidi"/>
                <w:sz w:val="22"/>
                <w:szCs w:val="22"/>
              </w:rPr>
              <w:t>Aware</w:t>
            </w:r>
            <w:proofErr w:type="spellEnd"/>
            <w:r w:rsidRPr="009A1D53">
              <w:rPr>
                <w:rFonts w:asciiTheme="minorHAnsi" w:hAnsiTheme="minorHAnsi" w:cstheme="minorBidi"/>
                <w:sz w:val="22"/>
                <w:szCs w:val="22"/>
              </w:rPr>
              <w:t xml:space="preserve"> superando il 60% di prescrizione di antibiotici in categoria Access, è valorizzato il mantenimento dello standard.</w:t>
            </w:r>
          </w:p>
          <w:p w14:paraId="30A76FC9" w14:textId="544777FA" w:rsidR="00EB65D5" w:rsidRPr="00EB65D5" w:rsidRDefault="00EB65D5" w:rsidP="00EB65D5">
            <w:pPr>
              <w:pStyle w:val="paragraph"/>
              <w:spacing w:beforeAutospacing="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B050"/>
                <w:sz w:val="22"/>
                <w:szCs w:val="22"/>
              </w:rPr>
            </w:pPr>
            <w:r w:rsidRPr="009A1D53">
              <w:rPr>
                <w:rFonts w:asciiTheme="minorHAnsi" w:hAnsiTheme="minorHAnsi" w:cstheme="minorBidi"/>
                <w:sz w:val="22"/>
                <w:szCs w:val="22"/>
              </w:rPr>
              <w:t>Nel caso di patologie incombenti con effetto diretto sulla classe di prescrizione della terapia antibiotica, si prevede una rimodulazione dell’obiettivo in capo al Medico aderente</w:t>
            </w:r>
            <w:r>
              <w:rPr>
                <w:rFonts w:asciiTheme="minorHAnsi" w:hAnsiTheme="minorHAnsi" w:cstheme="minorBidi"/>
                <w:sz w:val="22"/>
                <w:szCs w:val="22"/>
              </w:rPr>
              <w:t>, che farà specifica istanza al Comitato Aziendale di ASST.</w:t>
            </w:r>
          </w:p>
        </w:tc>
      </w:tr>
    </w:tbl>
    <w:p w14:paraId="18BAFBB6" w14:textId="77777777" w:rsidR="00520F68" w:rsidRDefault="00520F68" w:rsidP="009A1D53">
      <w:pPr>
        <w:pStyle w:val="paragraph"/>
        <w:spacing w:beforeAutospacing="0" w:after="0" w:afterAutospacing="0"/>
        <w:jc w:val="both"/>
        <w:textAlignment w:val="baseline"/>
        <w:rPr>
          <w:rFonts w:asciiTheme="minorHAnsi" w:hAnsiTheme="minorHAnsi" w:cstheme="minorHAnsi"/>
          <w:sz w:val="22"/>
          <w:szCs w:val="22"/>
        </w:rPr>
      </w:pPr>
    </w:p>
    <w:p w14:paraId="27A3C722" w14:textId="55E345E9" w:rsidR="00EB65D5" w:rsidRDefault="00EB65D5" w:rsidP="009A1D53">
      <w:pPr>
        <w:pStyle w:val="paragraph"/>
        <w:spacing w:beforeAutospacing="0" w:after="0" w:afterAutospacing="0"/>
        <w:jc w:val="both"/>
        <w:textAlignment w:val="baseline"/>
        <w:rPr>
          <w:rFonts w:asciiTheme="minorHAnsi" w:hAnsiTheme="minorHAnsi" w:cstheme="minorBidi"/>
          <w:color w:val="000000" w:themeColor="text1"/>
          <w:sz w:val="22"/>
          <w:szCs w:val="22"/>
        </w:rPr>
      </w:pPr>
      <w:r>
        <w:rPr>
          <w:rFonts w:asciiTheme="minorHAnsi" w:hAnsiTheme="minorHAnsi" w:cstheme="minorHAnsi"/>
          <w:sz w:val="22"/>
          <w:szCs w:val="22"/>
        </w:rPr>
        <w:t xml:space="preserve">La quota </w:t>
      </w:r>
      <w:r w:rsidR="00E05CC6">
        <w:rPr>
          <w:rFonts w:asciiTheme="minorHAnsi" w:hAnsiTheme="minorHAnsi" w:cstheme="minorHAnsi"/>
          <w:sz w:val="22"/>
          <w:szCs w:val="22"/>
        </w:rPr>
        <w:t xml:space="preserve">intera </w:t>
      </w:r>
      <w:r>
        <w:rPr>
          <w:rFonts w:asciiTheme="minorHAnsi" w:hAnsiTheme="minorHAnsi" w:cstheme="minorHAnsi"/>
          <w:sz w:val="22"/>
          <w:szCs w:val="22"/>
        </w:rPr>
        <w:t xml:space="preserve">di Governo Clinico, da ACN vigente, è pari ad Euro </w:t>
      </w:r>
      <w:r w:rsidRPr="00E05CC6">
        <w:rPr>
          <w:rFonts w:asciiTheme="minorHAnsi" w:hAnsiTheme="minorHAnsi" w:cstheme="minorBidi"/>
          <w:b/>
          <w:color w:val="000000" w:themeColor="text1"/>
          <w:sz w:val="22"/>
          <w:szCs w:val="22"/>
        </w:rPr>
        <w:t>4,74</w:t>
      </w:r>
      <w:r w:rsidRPr="00EB65D5">
        <w:rPr>
          <w:rFonts w:asciiTheme="minorHAnsi" w:hAnsiTheme="minorHAnsi" w:cstheme="minorBidi"/>
          <w:color w:val="000000" w:themeColor="text1"/>
          <w:sz w:val="22"/>
          <w:szCs w:val="22"/>
        </w:rPr>
        <w:t xml:space="preserve"> per assistito</w:t>
      </w:r>
      <w:r w:rsidR="00E05CC6">
        <w:rPr>
          <w:rFonts w:asciiTheme="minorHAnsi" w:hAnsiTheme="minorHAnsi" w:cstheme="minorBidi"/>
          <w:color w:val="000000" w:themeColor="text1"/>
          <w:sz w:val="22"/>
          <w:szCs w:val="22"/>
        </w:rPr>
        <w:t xml:space="preserve"> in carico al MAP.</w:t>
      </w:r>
    </w:p>
    <w:p w14:paraId="3ECCEB09" w14:textId="77777777" w:rsidR="0090739B" w:rsidRDefault="0090739B" w:rsidP="0090739B">
      <w:pPr>
        <w:pStyle w:val="paragraph"/>
        <w:spacing w:beforeAutospacing="0" w:after="0" w:afterAutospacing="0"/>
        <w:jc w:val="both"/>
        <w:rPr>
          <w:rFonts w:ascii="Calibri" w:eastAsia="Calibri" w:hAnsi="Calibri" w:cs="Calibri"/>
          <w:sz w:val="22"/>
          <w:szCs w:val="22"/>
          <w:highlight w:val="yellow"/>
        </w:rPr>
      </w:pPr>
    </w:p>
    <w:p w14:paraId="1BDB154D" w14:textId="77777777" w:rsidR="0090739B" w:rsidRPr="00967393" w:rsidRDefault="0090739B" w:rsidP="0090739B">
      <w:pPr>
        <w:pStyle w:val="paragraph"/>
        <w:spacing w:beforeAutospacing="0" w:after="0" w:afterAutospacing="0"/>
        <w:jc w:val="both"/>
        <w:rPr>
          <w:rFonts w:ascii="Calibri" w:eastAsia="Calibri" w:hAnsi="Calibri" w:cs="Calibri"/>
          <w:sz w:val="22"/>
          <w:szCs w:val="22"/>
        </w:rPr>
      </w:pPr>
      <w:r w:rsidRPr="00967393">
        <w:rPr>
          <w:rFonts w:ascii="Calibri" w:eastAsia="Calibri" w:hAnsi="Calibri" w:cs="Calibri"/>
          <w:sz w:val="22"/>
          <w:szCs w:val="22"/>
          <w:highlight w:val="yellow"/>
        </w:rPr>
        <w:t xml:space="preserve">A corollario del Progetto di Governo Clinico per il 2025, si propone l’adesione a specifica formazione organizzata e gestita dalla Rete regionale delle Malattie Infettive per la conoscenza dei criteri di individuazione dei sospetti casi di </w:t>
      </w:r>
      <w:r w:rsidRPr="00967393">
        <w:rPr>
          <w:rFonts w:ascii="Calibri" w:eastAsia="Calibri" w:hAnsi="Calibri" w:cs="Calibri"/>
          <w:i/>
          <w:sz w:val="22"/>
          <w:szCs w:val="22"/>
          <w:highlight w:val="yellow"/>
        </w:rPr>
        <w:t>LONG-COVID</w:t>
      </w:r>
      <w:r w:rsidRPr="00967393">
        <w:rPr>
          <w:rFonts w:ascii="Calibri" w:eastAsia="Calibri" w:hAnsi="Calibri" w:cs="Calibri"/>
          <w:sz w:val="22"/>
          <w:szCs w:val="22"/>
          <w:highlight w:val="yellow"/>
        </w:rPr>
        <w:t>, ai fini di un conseguente invio ai centri di riferimento di secondo livello in Regione Lombardia</w:t>
      </w:r>
      <w:r>
        <w:rPr>
          <w:rFonts w:ascii="Calibri" w:eastAsia="Calibri" w:hAnsi="Calibri" w:cs="Calibri"/>
          <w:sz w:val="22"/>
          <w:szCs w:val="22"/>
        </w:rPr>
        <w:t>.</w:t>
      </w:r>
    </w:p>
    <w:p w14:paraId="0BE99A8F" w14:textId="77777777" w:rsidR="0090739B" w:rsidRDefault="0090739B" w:rsidP="009A1D53">
      <w:pPr>
        <w:pStyle w:val="paragraph"/>
        <w:spacing w:beforeAutospacing="0" w:after="0" w:afterAutospacing="0"/>
        <w:jc w:val="both"/>
        <w:textAlignment w:val="baseline"/>
        <w:rPr>
          <w:rFonts w:asciiTheme="minorHAnsi" w:hAnsiTheme="minorHAnsi" w:cstheme="minorBidi"/>
          <w:color w:val="000000" w:themeColor="text1"/>
          <w:sz w:val="22"/>
          <w:szCs w:val="22"/>
        </w:rPr>
      </w:pPr>
    </w:p>
    <w:p w14:paraId="1B51C709" w14:textId="2C69EE79" w:rsidR="00E05CC6" w:rsidRPr="00E05CC6" w:rsidRDefault="00E05CC6" w:rsidP="009A1D53">
      <w:pPr>
        <w:pStyle w:val="paragraph"/>
        <w:spacing w:beforeAutospacing="0" w:after="0" w:afterAutospacing="0"/>
        <w:jc w:val="both"/>
        <w:textAlignment w:val="baseline"/>
        <w:rPr>
          <w:rFonts w:asciiTheme="minorHAnsi" w:hAnsiTheme="minorHAnsi" w:cstheme="minorHAnsi"/>
          <w:b/>
          <w:i/>
          <w:sz w:val="22"/>
          <w:szCs w:val="22"/>
        </w:rPr>
      </w:pPr>
      <w:r w:rsidRPr="00E05CC6">
        <w:rPr>
          <w:rFonts w:asciiTheme="minorHAnsi" w:hAnsiTheme="minorHAnsi" w:cstheme="minorHAnsi"/>
          <w:b/>
          <w:i/>
          <w:sz w:val="22"/>
          <w:szCs w:val="22"/>
        </w:rPr>
        <w:t>Sviluppo di percorsi per pazienti cronici e fragili</w:t>
      </w:r>
    </w:p>
    <w:p w14:paraId="2B47117F" w14:textId="77777777" w:rsidR="00EB65D5" w:rsidRDefault="00EB65D5" w:rsidP="009A1D53">
      <w:pPr>
        <w:pStyle w:val="paragraph"/>
        <w:spacing w:beforeAutospacing="0" w:after="0" w:afterAutospacing="0"/>
        <w:jc w:val="both"/>
        <w:rPr>
          <w:rFonts w:asciiTheme="minorHAnsi" w:hAnsiTheme="minorHAnsi" w:cstheme="minorBidi"/>
          <w:strike/>
          <w:color w:val="000000" w:themeColor="text1"/>
          <w:sz w:val="22"/>
          <w:szCs w:val="22"/>
        </w:rPr>
      </w:pPr>
    </w:p>
    <w:p w14:paraId="1C2ACFC1" w14:textId="03B9B2F2" w:rsidR="7F684B06" w:rsidRDefault="00E05CC6" w:rsidP="00E05CC6">
      <w:pPr>
        <w:pStyle w:val="paragraph"/>
        <w:spacing w:beforeAutospacing="0" w:after="0" w:afterAutospacing="0"/>
        <w:jc w:val="both"/>
        <w:rPr>
          <w:rFonts w:asciiTheme="minorHAnsi" w:hAnsiTheme="minorHAnsi" w:cstheme="minorBidi"/>
          <w:color w:val="000000" w:themeColor="text1"/>
          <w:sz w:val="22"/>
          <w:szCs w:val="22"/>
        </w:rPr>
      </w:pPr>
      <w:r w:rsidRPr="00E05CC6">
        <w:rPr>
          <w:rFonts w:asciiTheme="minorHAnsi" w:hAnsiTheme="minorHAnsi" w:cstheme="minorBidi"/>
          <w:color w:val="000000" w:themeColor="text1"/>
          <w:sz w:val="22"/>
          <w:szCs w:val="22"/>
        </w:rPr>
        <w:t>A</w:t>
      </w:r>
      <w:r w:rsidR="07440541" w:rsidRPr="00E05CC6">
        <w:rPr>
          <w:rFonts w:asciiTheme="minorHAnsi" w:hAnsiTheme="minorHAnsi" w:cstheme="minorBidi"/>
          <w:color w:val="000000" w:themeColor="text1"/>
          <w:sz w:val="22"/>
          <w:szCs w:val="22"/>
        </w:rPr>
        <w:t xml:space="preserve">i fini dell’accesso all’incremento di 1,90 per assistito, </w:t>
      </w:r>
      <w:r w:rsidR="07440541" w:rsidRPr="00E05CC6">
        <w:rPr>
          <w:rFonts w:asciiTheme="minorHAnsi" w:hAnsiTheme="minorHAnsi" w:cstheme="minorBidi"/>
          <w:i/>
          <w:iCs/>
          <w:color w:val="000000" w:themeColor="text1"/>
          <w:sz w:val="22"/>
          <w:szCs w:val="22"/>
        </w:rPr>
        <w:t>finalizzato ad obiettivi di miglioramento della presa in carico dei pazienti cronici,</w:t>
      </w:r>
      <w:r w:rsidR="07440541" w:rsidRPr="00E05CC6">
        <w:rPr>
          <w:rFonts w:asciiTheme="minorHAnsi" w:hAnsiTheme="minorHAnsi" w:cstheme="minorBidi"/>
          <w:color w:val="000000" w:themeColor="text1"/>
          <w:sz w:val="22"/>
          <w:szCs w:val="22"/>
        </w:rPr>
        <w:t xml:space="preserve"> </w:t>
      </w:r>
      <w:r>
        <w:rPr>
          <w:rFonts w:asciiTheme="minorHAnsi" w:hAnsiTheme="minorHAnsi" w:cstheme="minorBidi"/>
          <w:color w:val="000000" w:themeColor="text1"/>
          <w:sz w:val="22"/>
          <w:szCs w:val="22"/>
        </w:rPr>
        <w:t>si prevede un impegno del MAP nel processo di presa in carico del paziente cronico (PIC) secondo il modello adottato da Regione Lombardia, così come indicato in tabella seguente.</w:t>
      </w:r>
    </w:p>
    <w:p w14:paraId="72A6E3C1" w14:textId="77777777" w:rsidR="00E05CC6" w:rsidRDefault="00E05CC6" w:rsidP="00E05CC6">
      <w:pPr>
        <w:pStyle w:val="paragraph"/>
        <w:spacing w:beforeAutospacing="0" w:after="0" w:afterAutospacing="0"/>
        <w:jc w:val="both"/>
        <w:rPr>
          <w:rFonts w:asciiTheme="minorHAnsi" w:hAnsiTheme="minorHAnsi" w:cstheme="minorBidi"/>
          <w:color w:val="000000" w:themeColor="text1"/>
          <w:sz w:val="22"/>
          <w:szCs w:val="22"/>
        </w:rPr>
      </w:pPr>
    </w:p>
    <w:tbl>
      <w:tblPr>
        <w:tblStyle w:val="Tabellagriglia1chiara-colore6"/>
        <w:tblW w:w="10632" w:type="dxa"/>
        <w:jc w:val="center"/>
        <w:tblLook w:val="04A0" w:firstRow="1" w:lastRow="0" w:firstColumn="1" w:lastColumn="0" w:noHBand="0" w:noVBand="1"/>
      </w:tblPr>
      <w:tblGrid>
        <w:gridCol w:w="3425"/>
        <w:gridCol w:w="1740"/>
        <w:gridCol w:w="5467"/>
      </w:tblGrid>
      <w:tr w:rsidR="00E05CC6" w:rsidRPr="009A1D53" w14:paraId="118D9B72" w14:textId="77777777" w:rsidTr="00B00DE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25" w:type="dxa"/>
          </w:tcPr>
          <w:p w14:paraId="6326D1BE" w14:textId="77777777" w:rsidR="00E05CC6" w:rsidRPr="009A1D53" w:rsidRDefault="00E05CC6" w:rsidP="00B00DEF">
            <w:pPr>
              <w:pStyle w:val="NormaleWeb"/>
              <w:spacing w:beforeAutospacing="0" w:afterAutospacing="0"/>
              <w:jc w:val="both"/>
              <w:rPr>
                <w:rFonts w:asciiTheme="minorHAnsi" w:hAnsiTheme="minorHAnsi" w:cstheme="minorHAnsi"/>
                <w:bCs w:val="0"/>
                <w:color w:val="000000" w:themeColor="text1"/>
                <w:sz w:val="22"/>
                <w:szCs w:val="22"/>
              </w:rPr>
            </w:pPr>
            <w:r w:rsidRPr="009A1D53">
              <w:rPr>
                <w:rFonts w:asciiTheme="minorHAnsi" w:hAnsiTheme="minorHAnsi" w:cstheme="minorHAnsi"/>
                <w:bCs w:val="0"/>
                <w:color w:val="000000" w:themeColor="text1"/>
                <w:sz w:val="22"/>
                <w:szCs w:val="22"/>
              </w:rPr>
              <w:t>Attività</w:t>
            </w:r>
          </w:p>
        </w:tc>
        <w:tc>
          <w:tcPr>
            <w:tcW w:w="1740" w:type="dxa"/>
          </w:tcPr>
          <w:p w14:paraId="634962C7" w14:textId="77777777" w:rsidR="00E05CC6" w:rsidRPr="009A1D53" w:rsidRDefault="00E05CC6" w:rsidP="00B00DEF">
            <w:pPr>
              <w:pStyle w:val="NormaleWeb"/>
              <w:spacing w:beforeAutospacing="0" w:afterAutospacing="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sz w:val="22"/>
                <w:szCs w:val="22"/>
              </w:rPr>
            </w:pPr>
            <w:r w:rsidRPr="009A1D53">
              <w:rPr>
                <w:rFonts w:asciiTheme="minorHAnsi" w:hAnsiTheme="minorHAnsi" w:cstheme="minorHAnsi"/>
                <w:bCs w:val="0"/>
                <w:color w:val="000000" w:themeColor="text1"/>
                <w:sz w:val="22"/>
                <w:szCs w:val="22"/>
              </w:rPr>
              <w:t xml:space="preserve">% Quota di </w:t>
            </w:r>
            <w:r>
              <w:rPr>
                <w:rFonts w:asciiTheme="minorHAnsi" w:hAnsiTheme="minorHAnsi" w:cstheme="minorHAnsi"/>
                <w:bCs w:val="0"/>
                <w:color w:val="000000" w:themeColor="text1"/>
                <w:sz w:val="22"/>
                <w:szCs w:val="22"/>
              </w:rPr>
              <w:t>Governo Clinico</w:t>
            </w:r>
          </w:p>
        </w:tc>
        <w:tc>
          <w:tcPr>
            <w:tcW w:w="5467" w:type="dxa"/>
          </w:tcPr>
          <w:p w14:paraId="115F56B2" w14:textId="77777777" w:rsidR="00E05CC6" w:rsidRPr="009A1D53" w:rsidRDefault="00E05CC6" w:rsidP="00B00DEF">
            <w:pPr>
              <w:pStyle w:val="NormaleWeb"/>
              <w:spacing w:beforeAutospacing="0" w:afterAutospacing="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sz w:val="22"/>
                <w:szCs w:val="22"/>
              </w:rPr>
            </w:pPr>
            <w:r w:rsidRPr="009A1D53">
              <w:rPr>
                <w:rFonts w:asciiTheme="minorHAnsi" w:hAnsiTheme="minorHAnsi" w:cstheme="minorHAnsi"/>
                <w:bCs w:val="0"/>
                <w:color w:val="000000" w:themeColor="text1"/>
                <w:sz w:val="22"/>
                <w:szCs w:val="22"/>
              </w:rPr>
              <w:t>Area di risultato per il singolo MMG</w:t>
            </w:r>
          </w:p>
        </w:tc>
      </w:tr>
      <w:tr w:rsidR="00E05CC6" w:rsidRPr="009A1D53" w14:paraId="3774A845" w14:textId="77777777" w:rsidTr="00B00DEF">
        <w:trPr>
          <w:jc w:val="center"/>
        </w:trPr>
        <w:tc>
          <w:tcPr>
            <w:cnfStyle w:val="001000000000" w:firstRow="0" w:lastRow="0" w:firstColumn="1" w:lastColumn="0" w:oddVBand="0" w:evenVBand="0" w:oddHBand="0" w:evenHBand="0" w:firstRowFirstColumn="0" w:firstRowLastColumn="0" w:lastRowFirstColumn="0" w:lastRowLastColumn="0"/>
            <w:tcW w:w="3425" w:type="dxa"/>
            <w:vMerge w:val="restart"/>
          </w:tcPr>
          <w:p w14:paraId="00912169" w14:textId="12547B5E" w:rsidR="00E05CC6" w:rsidRPr="009A1D53" w:rsidRDefault="00E05CC6" w:rsidP="00E05CC6">
            <w:pPr>
              <w:pStyle w:val="NormaleWeb"/>
              <w:spacing w:beforeAutospacing="0" w:afterAutospacing="0"/>
              <w:jc w:val="both"/>
              <w:rPr>
                <w:rFonts w:asciiTheme="minorHAnsi" w:hAnsiTheme="minorHAnsi" w:cstheme="minorHAnsi"/>
                <w:b w:val="0"/>
                <w:bCs w:val="0"/>
                <w:color w:val="000000" w:themeColor="text1"/>
                <w:sz w:val="22"/>
                <w:szCs w:val="22"/>
              </w:rPr>
            </w:pPr>
            <w:r w:rsidRPr="009A1D53">
              <w:rPr>
                <w:rFonts w:asciiTheme="minorHAnsi" w:hAnsiTheme="minorHAnsi" w:cstheme="minorHAnsi"/>
                <w:b w:val="0"/>
                <w:bCs w:val="0"/>
                <w:color w:val="000000" w:themeColor="text1"/>
                <w:sz w:val="22"/>
                <w:szCs w:val="22"/>
              </w:rPr>
              <w:t xml:space="preserve">Adesione </w:t>
            </w:r>
            <w:r>
              <w:rPr>
                <w:rFonts w:asciiTheme="minorHAnsi" w:hAnsiTheme="minorHAnsi" w:cstheme="minorHAnsi"/>
                <w:b w:val="0"/>
                <w:bCs w:val="0"/>
                <w:color w:val="000000" w:themeColor="text1"/>
                <w:sz w:val="22"/>
                <w:szCs w:val="22"/>
              </w:rPr>
              <w:t xml:space="preserve">del MAP al Progetto di Governo Clinico </w:t>
            </w:r>
            <w:r w:rsidRPr="00E05CC6">
              <w:rPr>
                <w:rFonts w:asciiTheme="minorHAnsi" w:hAnsiTheme="minorHAnsi" w:cstheme="minorHAnsi"/>
                <w:b w:val="0"/>
                <w:i/>
                <w:sz w:val="22"/>
                <w:szCs w:val="22"/>
              </w:rPr>
              <w:t>Sviluppo di percorsi per pazienti cronici e fragili</w:t>
            </w:r>
          </w:p>
        </w:tc>
        <w:tc>
          <w:tcPr>
            <w:tcW w:w="1740" w:type="dxa"/>
          </w:tcPr>
          <w:p w14:paraId="5ABB6713" w14:textId="77777777" w:rsidR="00E05CC6" w:rsidRPr="009A1D53" w:rsidRDefault="00E05CC6" w:rsidP="00B00DEF">
            <w:pPr>
              <w:pStyle w:val="NormaleWeb"/>
              <w:spacing w:beforeAutospacing="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szCs w:val="22"/>
              </w:rPr>
            </w:pPr>
            <w:r w:rsidRPr="009A1D53">
              <w:rPr>
                <w:rFonts w:asciiTheme="minorHAnsi" w:hAnsiTheme="minorHAnsi" w:cstheme="minorHAnsi"/>
                <w:bCs/>
                <w:color w:val="000000" w:themeColor="text1"/>
                <w:sz w:val="22"/>
                <w:szCs w:val="22"/>
              </w:rPr>
              <w:t>50</w:t>
            </w:r>
          </w:p>
        </w:tc>
        <w:tc>
          <w:tcPr>
            <w:tcW w:w="5467" w:type="dxa"/>
          </w:tcPr>
          <w:p w14:paraId="626E2B01" w14:textId="767A5C8D" w:rsidR="00E05CC6" w:rsidRPr="009A1D53" w:rsidRDefault="00E05CC6" w:rsidP="00B00DEF">
            <w:pPr>
              <w:pStyle w:val="NormaleWeb"/>
              <w:spacing w:beforeAutospacing="0" w:afterAutospacing="0"/>
              <w:jc w:val="both"/>
              <w:cnfStyle w:val="000000000000" w:firstRow="0" w:lastRow="0" w:firstColumn="0" w:lastColumn="0" w:oddVBand="0" w:evenVBand="0" w:oddHBand="0" w:evenHBand="0" w:firstRowFirstColumn="0" w:firstRowLastColumn="0" w:lastRowFirstColumn="0" w:lastRowLastColumn="0"/>
            </w:pPr>
            <w:r w:rsidRPr="009A1D53">
              <w:rPr>
                <w:rFonts w:ascii="Calibri" w:eastAsia="Calibri" w:hAnsi="Calibri" w:cs="Calibri"/>
                <w:sz w:val="22"/>
                <w:szCs w:val="22"/>
              </w:rPr>
              <w:t xml:space="preserve">Compilazione ed invio al Dipartimento Cure Primarie del format di ADESIONE </w:t>
            </w:r>
            <w:r>
              <w:rPr>
                <w:rFonts w:ascii="Calibri" w:eastAsia="Calibri" w:hAnsi="Calibri" w:cs="Calibri"/>
                <w:sz w:val="22"/>
                <w:szCs w:val="22"/>
              </w:rPr>
              <w:t xml:space="preserve">al Progetto di Governo Clinico </w:t>
            </w:r>
            <w:r w:rsidRPr="00EB65D5">
              <w:rPr>
                <w:rFonts w:ascii="Calibri" w:eastAsia="Calibri" w:hAnsi="Calibri" w:cs="Calibri"/>
                <w:sz w:val="22"/>
                <w:szCs w:val="22"/>
              </w:rPr>
              <w:t>“</w:t>
            </w:r>
            <w:r w:rsidRPr="00E05CC6">
              <w:rPr>
                <w:rFonts w:asciiTheme="minorHAnsi" w:hAnsiTheme="minorHAnsi" w:cstheme="minorHAnsi"/>
                <w:i/>
                <w:sz w:val="22"/>
                <w:szCs w:val="22"/>
              </w:rPr>
              <w:t>Sviluppo di percorsi per pazienti cronici e fragili</w:t>
            </w:r>
            <w:r w:rsidRPr="00EB65D5">
              <w:rPr>
                <w:rFonts w:asciiTheme="minorHAnsi" w:hAnsiTheme="minorHAnsi" w:cstheme="minorHAnsi"/>
                <w:bCs/>
                <w:i/>
                <w:color w:val="000000" w:themeColor="text1"/>
                <w:sz w:val="22"/>
                <w:szCs w:val="22"/>
              </w:rPr>
              <w:t>”</w:t>
            </w:r>
          </w:p>
        </w:tc>
      </w:tr>
      <w:tr w:rsidR="00E05CC6" w:rsidRPr="009A1D53" w14:paraId="2A63A704" w14:textId="77777777" w:rsidTr="00B00DEF">
        <w:trPr>
          <w:jc w:val="center"/>
        </w:trPr>
        <w:tc>
          <w:tcPr>
            <w:cnfStyle w:val="001000000000" w:firstRow="0" w:lastRow="0" w:firstColumn="1" w:lastColumn="0" w:oddVBand="0" w:evenVBand="0" w:oddHBand="0" w:evenHBand="0" w:firstRowFirstColumn="0" w:firstRowLastColumn="0" w:lastRowFirstColumn="0" w:lastRowLastColumn="0"/>
            <w:tcW w:w="3425" w:type="dxa"/>
            <w:vMerge/>
          </w:tcPr>
          <w:p w14:paraId="11682FEB" w14:textId="77777777" w:rsidR="00E05CC6" w:rsidRPr="009A1D53" w:rsidRDefault="00E05CC6" w:rsidP="00B00DEF">
            <w:pPr>
              <w:pStyle w:val="NormaleWeb"/>
              <w:spacing w:beforeAutospacing="0" w:afterAutospacing="0"/>
              <w:jc w:val="both"/>
              <w:rPr>
                <w:rFonts w:asciiTheme="minorHAnsi" w:hAnsiTheme="minorHAnsi" w:cstheme="minorBidi"/>
                <w:b w:val="0"/>
                <w:bCs w:val="0"/>
                <w:strike/>
                <w:color w:val="000000" w:themeColor="text1"/>
                <w:sz w:val="22"/>
                <w:szCs w:val="22"/>
              </w:rPr>
            </w:pPr>
          </w:p>
        </w:tc>
        <w:tc>
          <w:tcPr>
            <w:tcW w:w="1740" w:type="dxa"/>
          </w:tcPr>
          <w:p w14:paraId="6502FD78" w14:textId="77777777" w:rsidR="00E05CC6" w:rsidRPr="009A1D53" w:rsidRDefault="00E05CC6" w:rsidP="00B00DEF">
            <w:pPr>
              <w:pStyle w:val="NormaleWeb"/>
              <w:spacing w:beforeAutospacing="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szCs w:val="22"/>
              </w:rPr>
            </w:pPr>
            <w:r w:rsidRPr="009A1D53">
              <w:rPr>
                <w:rFonts w:asciiTheme="minorHAnsi" w:hAnsiTheme="minorHAnsi" w:cstheme="minorHAnsi"/>
                <w:bCs/>
                <w:color w:val="000000" w:themeColor="text1"/>
                <w:sz w:val="22"/>
                <w:szCs w:val="22"/>
              </w:rPr>
              <w:t>50</w:t>
            </w:r>
          </w:p>
        </w:tc>
        <w:tc>
          <w:tcPr>
            <w:tcW w:w="5467" w:type="dxa"/>
          </w:tcPr>
          <w:p w14:paraId="4B531D98" w14:textId="77777777" w:rsidR="00E05CC6" w:rsidRPr="002F0DAC" w:rsidRDefault="00E05CC6" w:rsidP="00E05CC6">
            <w:pPr>
              <w:jc w:val="both"/>
              <w:cnfStyle w:val="000000000000" w:firstRow="0" w:lastRow="0" w:firstColumn="0" w:lastColumn="0" w:oddVBand="0" w:evenVBand="0" w:oddHBand="0" w:evenHBand="0" w:firstRowFirstColumn="0" w:firstRowLastColumn="0" w:lastRowFirstColumn="0" w:lastRowLastColumn="0"/>
              <w:rPr>
                <w:rFonts w:cs="Calibri"/>
                <w:lang w:eastAsia="it-IT"/>
              </w:rPr>
            </w:pPr>
            <w:r w:rsidRPr="002F0DAC">
              <w:rPr>
                <w:rFonts w:cs="Calibri"/>
                <w:lang w:eastAsia="it-IT"/>
              </w:rPr>
              <w:t>Raggiungimento target PIC previsto per l’anno 2025</w:t>
            </w:r>
          </w:p>
          <w:p w14:paraId="24987D77" w14:textId="77777777" w:rsidR="002F0DAC" w:rsidRPr="002F0DAC" w:rsidRDefault="00E05CC6" w:rsidP="0067743C">
            <w:pPr>
              <w:pStyle w:val="Paragrafoelenco"/>
              <w:numPr>
                <w:ilvl w:val="0"/>
                <w:numId w:val="9"/>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it-IT"/>
                <w14:ligatures w14:val="none"/>
              </w:rPr>
            </w:pPr>
            <w:r w:rsidRPr="002F0DAC">
              <w:rPr>
                <w:rFonts w:ascii="Calibri" w:eastAsia="Calibri" w:hAnsi="Calibri" w:cs="Calibri"/>
                <w:lang w:eastAsia="it-IT"/>
                <w14:ligatures w14:val="none"/>
              </w:rPr>
              <w:t>Numero di pazienti cronici presi in carico sul totale dei pazienti di competenza, considerando solo i pazienti cronici dei MMG non aderenti a cooperativa ≥10%</w:t>
            </w:r>
          </w:p>
          <w:p w14:paraId="7AEB27D2" w14:textId="778BECCF" w:rsidR="002F0DAC" w:rsidRPr="002F0DAC" w:rsidRDefault="00E05CC6" w:rsidP="0067743C">
            <w:pPr>
              <w:pStyle w:val="Paragrafoelenco"/>
              <w:numPr>
                <w:ilvl w:val="0"/>
                <w:numId w:val="9"/>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it-IT"/>
                <w14:ligatures w14:val="none"/>
              </w:rPr>
            </w:pPr>
            <w:r w:rsidRPr="002F0DAC">
              <w:rPr>
                <w:rFonts w:ascii="Calibri" w:eastAsia="Calibri" w:hAnsi="Calibri" w:cs="Calibri"/>
                <w:lang w:eastAsia="it-IT"/>
                <w14:ligatures w14:val="none"/>
              </w:rPr>
              <w:t>Numero di pazienti cronici presi in carico sul totale dei pazienti di competenza, considerando solo i pazienti cronici dei MMG aderenti a cooperativa ≥20%</w:t>
            </w:r>
          </w:p>
        </w:tc>
      </w:tr>
    </w:tbl>
    <w:p w14:paraId="728B8C1C" w14:textId="6DCFF96A" w:rsidR="002F0DAC" w:rsidRPr="002F0DAC" w:rsidRDefault="002F0DAC" w:rsidP="00E05CC6">
      <w:pPr>
        <w:pStyle w:val="paragraph"/>
        <w:spacing w:beforeAutospacing="0" w:after="0" w:afterAutospacing="0"/>
        <w:jc w:val="both"/>
        <w:rPr>
          <w:rFonts w:ascii="Calibri" w:eastAsia="Calibri" w:hAnsi="Calibri" w:cs="Calibri"/>
          <w:sz w:val="22"/>
          <w:szCs w:val="22"/>
        </w:rPr>
      </w:pPr>
      <w:r>
        <w:rPr>
          <w:rFonts w:asciiTheme="minorHAnsi" w:hAnsiTheme="minorHAnsi" w:cstheme="minorHAnsi"/>
          <w:sz w:val="22"/>
          <w:szCs w:val="22"/>
        </w:rPr>
        <w:lastRenderedPageBreak/>
        <w:t xml:space="preserve">La quota intera di Governo Clinico per la presa in carico dei pazienti cronici, da ACN vigente, è pari ad Euro </w:t>
      </w:r>
      <w:r>
        <w:rPr>
          <w:rFonts w:asciiTheme="minorHAnsi" w:hAnsiTheme="minorHAnsi" w:cstheme="minorBidi"/>
          <w:b/>
          <w:color w:val="000000" w:themeColor="text1"/>
          <w:sz w:val="22"/>
          <w:szCs w:val="22"/>
        </w:rPr>
        <w:t>1,90</w:t>
      </w:r>
      <w:r w:rsidRPr="00EB65D5">
        <w:rPr>
          <w:rFonts w:asciiTheme="minorHAnsi" w:hAnsiTheme="minorHAnsi" w:cstheme="minorBidi"/>
          <w:color w:val="000000" w:themeColor="text1"/>
          <w:sz w:val="22"/>
          <w:szCs w:val="22"/>
        </w:rPr>
        <w:t xml:space="preserve"> per assistito</w:t>
      </w:r>
      <w:r>
        <w:rPr>
          <w:rFonts w:asciiTheme="minorHAnsi" w:hAnsiTheme="minorHAnsi" w:cstheme="minorBidi"/>
          <w:color w:val="000000" w:themeColor="text1"/>
          <w:sz w:val="22"/>
          <w:szCs w:val="22"/>
        </w:rPr>
        <w:t xml:space="preserve"> in carico al MAP.</w:t>
      </w:r>
    </w:p>
    <w:p w14:paraId="422CCEFE" w14:textId="77777777" w:rsidR="002F0DAC" w:rsidRDefault="002F0DAC" w:rsidP="002F0DAC">
      <w:pPr>
        <w:pStyle w:val="paragraph"/>
        <w:spacing w:beforeAutospacing="0" w:after="0" w:afterAutospacing="0"/>
        <w:jc w:val="both"/>
        <w:rPr>
          <w:rFonts w:ascii="Calibri" w:eastAsia="Calibri" w:hAnsi="Calibri" w:cs="Calibri"/>
          <w:sz w:val="22"/>
          <w:szCs w:val="22"/>
        </w:rPr>
      </w:pPr>
    </w:p>
    <w:p w14:paraId="5E2B6775" w14:textId="0C030225" w:rsidR="002F0DAC" w:rsidRDefault="002F0DAC" w:rsidP="002F0DAC">
      <w:pPr>
        <w:pStyle w:val="paragraph"/>
        <w:spacing w:beforeAutospacing="0" w:after="0" w:afterAutospacing="0"/>
        <w:jc w:val="both"/>
        <w:rPr>
          <w:rFonts w:ascii="Calibri" w:eastAsia="Calibri" w:hAnsi="Calibri" w:cs="Calibri"/>
          <w:sz w:val="22"/>
          <w:szCs w:val="22"/>
        </w:rPr>
      </w:pPr>
      <w:r w:rsidRPr="002F0DAC">
        <w:rPr>
          <w:rFonts w:ascii="Calibri" w:eastAsia="Calibri" w:hAnsi="Calibri" w:cs="Calibri"/>
          <w:sz w:val="22"/>
          <w:szCs w:val="22"/>
        </w:rPr>
        <w:t>Se disponibili, i MAP su base AFT</w:t>
      </w:r>
      <w:r>
        <w:rPr>
          <w:rFonts w:ascii="Calibri" w:eastAsia="Calibri" w:hAnsi="Calibri" w:cs="Calibri"/>
          <w:sz w:val="22"/>
          <w:szCs w:val="22"/>
        </w:rPr>
        <w:t>,</w:t>
      </w:r>
      <w:r w:rsidRPr="002F0DAC">
        <w:rPr>
          <w:rFonts w:ascii="Calibri" w:eastAsia="Calibri" w:hAnsi="Calibri" w:cs="Calibri"/>
          <w:sz w:val="22"/>
          <w:szCs w:val="22"/>
        </w:rPr>
        <w:t xml:space="preserve"> possono effettuare la PIC degli assistiti che afferiscono agli Ambulatori Medici Temporanei (AMT)</w:t>
      </w:r>
      <w:r>
        <w:rPr>
          <w:rFonts w:ascii="Calibri" w:eastAsia="Calibri" w:hAnsi="Calibri" w:cs="Calibri"/>
          <w:sz w:val="22"/>
          <w:szCs w:val="22"/>
        </w:rPr>
        <w:t>. In tal caso i MAP, oltre a percepire il riconoscimento economico per singolo PAI redatto e pubblicato sul Fascicolo Sanitario Elettronico (FSE).</w:t>
      </w:r>
    </w:p>
    <w:p w14:paraId="194CE555" w14:textId="77777777" w:rsidR="00967393" w:rsidRDefault="00967393" w:rsidP="002F0DAC">
      <w:pPr>
        <w:pStyle w:val="paragraph"/>
        <w:spacing w:beforeAutospacing="0" w:after="0" w:afterAutospacing="0"/>
        <w:jc w:val="both"/>
        <w:rPr>
          <w:rFonts w:ascii="Calibri" w:eastAsia="Calibri" w:hAnsi="Calibri" w:cs="Calibri"/>
          <w:sz w:val="22"/>
          <w:szCs w:val="22"/>
        </w:rPr>
      </w:pPr>
    </w:p>
    <w:p w14:paraId="281885E9" w14:textId="69E03306" w:rsidR="002F0DAC" w:rsidRDefault="00103E2E" w:rsidP="002F0DAC">
      <w:pPr>
        <w:pStyle w:val="paragraph"/>
        <w:spacing w:beforeAutospacing="0" w:after="0" w:afterAutospacing="0"/>
        <w:jc w:val="both"/>
        <w:rPr>
          <w:rFonts w:ascii="Calibri" w:eastAsia="Calibri" w:hAnsi="Calibri" w:cs="Calibri"/>
          <w:sz w:val="22"/>
          <w:szCs w:val="22"/>
        </w:rPr>
      </w:pPr>
      <w:r w:rsidRPr="00103E2E">
        <w:rPr>
          <w:rFonts w:ascii="Calibri" w:eastAsia="Calibri" w:hAnsi="Calibri" w:cs="Calibri"/>
          <w:b/>
          <w:i/>
          <w:sz w:val="22"/>
          <w:szCs w:val="22"/>
        </w:rPr>
        <w:t>Assistenza Ambulatoriale e domiciliare</w:t>
      </w:r>
      <w:r>
        <w:rPr>
          <w:rFonts w:ascii="Calibri" w:eastAsia="Calibri" w:hAnsi="Calibri" w:cs="Calibri"/>
          <w:b/>
          <w:i/>
          <w:sz w:val="22"/>
          <w:szCs w:val="22"/>
        </w:rPr>
        <w:t xml:space="preserve"> per il contenimento delle ospedalizzazioni </w:t>
      </w:r>
      <w:r w:rsidRPr="00103E2E">
        <w:rPr>
          <w:rFonts w:ascii="Calibri" w:eastAsia="Calibri" w:hAnsi="Calibri" w:cs="Calibri"/>
          <w:b/>
          <w:i/>
          <w:sz w:val="22"/>
          <w:szCs w:val="22"/>
        </w:rPr>
        <w:t>per diabete, BPCO e scompenso cardiaco</w:t>
      </w:r>
    </w:p>
    <w:p w14:paraId="062C8A16" w14:textId="77777777" w:rsidR="00103E2E" w:rsidRDefault="00103E2E" w:rsidP="00E05CC6">
      <w:pPr>
        <w:pStyle w:val="paragraph"/>
        <w:spacing w:beforeAutospacing="0" w:after="0" w:afterAutospacing="0"/>
        <w:jc w:val="both"/>
        <w:rPr>
          <w:rFonts w:ascii="Calibri" w:eastAsia="Calibri" w:hAnsi="Calibri" w:cs="Calibri"/>
          <w:sz w:val="22"/>
          <w:szCs w:val="22"/>
        </w:rPr>
      </w:pPr>
    </w:p>
    <w:p w14:paraId="5A0F54B5" w14:textId="0FF2ECA9" w:rsidR="00103E2E" w:rsidRDefault="00103E2E" w:rsidP="00E05CC6">
      <w:pPr>
        <w:pStyle w:val="paragraph"/>
        <w:spacing w:beforeAutospacing="0" w:after="0" w:afterAutospacing="0"/>
        <w:jc w:val="both"/>
        <w:rPr>
          <w:rFonts w:ascii="Calibri" w:eastAsia="Calibri" w:hAnsi="Calibri" w:cs="Calibri"/>
          <w:sz w:val="22"/>
          <w:szCs w:val="22"/>
        </w:rPr>
      </w:pPr>
      <w:r>
        <w:rPr>
          <w:rFonts w:ascii="Calibri" w:eastAsia="Calibri" w:hAnsi="Calibri" w:cs="Calibri"/>
          <w:sz w:val="22"/>
          <w:szCs w:val="22"/>
        </w:rPr>
        <w:t xml:space="preserve">Tale progettualità coniuga l’attività di presa in carico dei pazienti cronici con la telemedicina, quale area di lavoro di rilievo per favorire la relazione tra MAP e specialisti di branca verso una migliore </w:t>
      </w:r>
      <w:r w:rsidR="002B166F">
        <w:rPr>
          <w:rFonts w:ascii="Calibri" w:eastAsia="Calibri" w:hAnsi="Calibri" w:cs="Calibri"/>
          <w:sz w:val="22"/>
          <w:szCs w:val="22"/>
        </w:rPr>
        <w:t xml:space="preserve">conoscenza reciproca e </w:t>
      </w:r>
      <w:r>
        <w:rPr>
          <w:rFonts w:ascii="Calibri" w:eastAsia="Calibri" w:hAnsi="Calibri" w:cs="Calibri"/>
          <w:sz w:val="22"/>
          <w:szCs w:val="22"/>
        </w:rPr>
        <w:t>integrazione Ospedale-Territorio</w:t>
      </w:r>
      <w:r w:rsidR="002B166F">
        <w:rPr>
          <w:rFonts w:ascii="Calibri" w:eastAsia="Calibri" w:hAnsi="Calibri" w:cs="Calibri"/>
          <w:sz w:val="22"/>
          <w:szCs w:val="22"/>
        </w:rPr>
        <w:t>. Si prevede l’avvio e l’applicazione di almeno uno scena</w:t>
      </w:r>
      <w:r w:rsidR="00010D0C">
        <w:rPr>
          <w:rFonts w:ascii="Calibri" w:eastAsia="Calibri" w:hAnsi="Calibri" w:cs="Calibri"/>
          <w:sz w:val="22"/>
          <w:szCs w:val="22"/>
        </w:rPr>
        <w:t>rio di teleconsulto per almeno 2</w:t>
      </w:r>
      <w:r w:rsidR="002B166F">
        <w:rPr>
          <w:rFonts w:ascii="Calibri" w:eastAsia="Calibri" w:hAnsi="Calibri" w:cs="Calibri"/>
          <w:sz w:val="22"/>
          <w:szCs w:val="22"/>
        </w:rPr>
        <w:t>0 pazienti in PIC</w:t>
      </w:r>
      <w:r w:rsidR="00E55093">
        <w:rPr>
          <w:rFonts w:ascii="Calibri" w:eastAsia="Calibri" w:hAnsi="Calibri" w:cs="Calibri"/>
          <w:sz w:val="22"/>
          <w:szCs w:val="22"/>
        </w:rPr>
        <w:t xml:space="preserve"> a Medico</w:t>
      </w:r>
      <w:r w:rsidR="002B166F">
        <w:rPr>
          <w:rFonts w:ascii="Calibri" w:eastAsia="Calibri" w:hAnsi="Calibri" w:cs="Calibri"/>
          <w:sz w:val="22"/>
          <w:szCs w:val="22"/>
        </w:rPr>
        <w:t>.</w:t>
      </w:r>
    </w:p>
    <w:p w14:paraId="4EC9F33F" w14:textId="77777777" w:rsidR="00103E2E" w:rsidRDefault="00103E2E" w:rsidP="00E05CC6">
      <w:pPr>
        <w:pStyle w:val="paragraph"/>
        <w:spacing w:beforeAutospacing="0" w:after="0" w:afterAutospacing="0"/>
        <w:jc w:val="both"/>
        <w:rPr>
          <w:rFonts w:ascii="Calibri" w:eastAsia="Calibri" w:hAnsi="Calibri" w:cs="Calibri"/>
          <w:sz w:val="22"/>
          <w:szCs w:val="22"/>
        </w:rPr>
      </w:pPr>
    </w:p>
    <w:p w14:paraId="04D52B7E" w14:textId="7B51353F" w:rsidR="00103E2E" w:rsidRPr="009A1D53" w:rsidRDefault="00103E2E" w:rsidP="00103E2E">
      <w:pPr>
        <w:pStyle w:val="NormaleWeb"/>
        <w:spacing w:beforeAutospacing="0" w:after="0" w:afterAutospacing="0"/>
        <w:jc w:val="both"/>
        <w:rPr>
          <w:rFonts w:asciiTheme="minorHAnsi" w:hAnsiTheme="minorHAnsi" w:cstheme="minorHAnsi"/>
          <w:kern w:val="24"/>
          <w:sz w:val="22"/>
          <w:szCs w:val="22"/>
        </w:rPr>
      </w:pPr>
      <w:r w:rsidRPr="009A1D53">
        <w:rPr>
          <w:rFonts w:asciiTheme="minorHAnsi" w:hAnsiTheme="minorHAnsi" w:cstheme="minorHAnsi"/>
          <w:bCs/>
          <w:sz w:val="22"/>
          <w:szCs w:val="22"/>
        </w:rPr>
        <w:t xml:space="preserve">La corresponsione della </w:t>
      </w:r>
      <w:proofErr w:type="spellStart"/>
      <w:r>
        <w:rPr>
          <w:rFonts w:asciiTheme="minorHAnsi" w:hAnsiTheme="minorHAnsi" w:cstheme="minorHAnsi"/>
          <w:bCs/>
          <w:sz w:val="22"/>
          <w:szCs w:val="22"/>
        </w:rPr>
        <w:t>premialità</w:t>
      </w:r>
      <w:proofErr w:type="spellEnd"/>
      <w:r w:rsidR="002B166F">
        <w:rPr>
          <w:rFonts w:asciiTheme="minorHAnsi" w:hAnsiTheme="minorHAnsi" w:cstheme="minorHAnsi"/>
          <w:bCs/>
          <w:sz w:val="22"/>
          <w:szCs w:val="22"/>
        </w:rPr>
        <w:t>, a valere sui fondi residui di Governo Clinico,</w:t>
      </w:r>
      <w:r w:rsidRPr="009A1D53">
        <w:rPr>
          <w:rFonts w:asciiTheme="minorHAnsi" w:hAnsiTheme="minorHAnsi" w:cstheme="minorHAnsi"/>
          <w:bCs/>
          <w:sz w:val="22"/>
          <w:szCs w:val="22"/>
        </w:rPr>
        <w:t xml:space="preserve"> sarà così articolata:</w:t>
      </w:r>
    </w:p>
    <w:tbl>
      <w:tblPr>
        <w:tblStyle w:val="Tabellagriglia1chiara-colore6"/>
        <w:tblW w:w="10632" w:type="dxa"/>
        <w:jc w:val="center"/>
        <w:tblLook w:val="04A0" w:firstRow="1" w:lastRow="0" w:firstColumn="1" w:lastColumn="0" w:noHBand="0" w:noVBand="1"/>
      </w:tblPr>
      <w:tblGrid>
        <w:gridCol w:w="3425"/>
        <w:gridCol w:w="1740"/>
        <w:gridCol w:w="5467"/>
      </w:tblGrid>
      <w:tr w:rsidR="00103E2E" w:rsidRPr="009A1D53" w14:paraId="5C606719" w14:textId="77777777" w:rsidTr="00B00DE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25" w:type="dxa"/>
          </w:tcPr>
          <w:p w14:paraId="00F24410" w14:textId="77777777" w:rsidR="00103E2E" w:rsidRPr="009A1D53" w:rsidRDefault="00103E2E" w:rsidP="00B00DEF">
            <w:pPr>
              <w:pStyle w:val="NormaleWeb"/>
              <w:spacing w:beforeAutospacing="0" w:afterAutospacing="0"/>
              <w:jc w:val="both"/>
              <w:rPr>
                <w:rFonts w:asciiTheme="minorHAnsi" w:hAnsiTheme="minorHAnsi" w:cstheme="minorHAnsi"/>
                <w:bCs w:val="0"/>
                <w:color w:val="000000" w:themeColor="text1"/>
                <w:sz w:val="22"/>
                <w:szCs w:val="22"/>
              </w:rPr>
            </w:pPr>
            <w:r w:rsidRPr="009A1D53">
              <w:rPr>
                <w:rFonts w:asciiTheme="minorHAnsi" w:hAnsiTheme="minorHAnsi" w:cstheme="minorHAnsi"/>
                <w:bCs w:val="0"/>
                <w:color w:val="000000" w:themeColor="text1"/>
                <w:sz w:val="22"/>
                <w:szCs w:val="22"/>
              </w:rPr>
              <w:t>Attività</w:t>
            </w:r>
          </w:p>
        </w:tc>
        <w:tc>
          <w:tcPr>
            <w:tcW w:w="1740" w:type="dxa"/>
          </w:tcPr>
          <w:p w14:paraId="6929D1A2" w14:textId="77777777" w:rsidR="00103E2E" w:rsidRPr="009A1D53" w:rsidRDefault="00103E2E" w:rsidP="00B00DEF">
            <w:pPr>
              <w:pStyle w:val="NormaleWeb"/>
              <w:spacing w:beforeAutospacing="0" w:afterAutospacing="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sz w:val="22"/>
                <w:szCs w:val="22"/>
              </w:rPr>
            </w:pPr>
            <w:r w:rsidRPr="009A1D53">
              <w:rPr>
                <w:rFonts w:asciiTheme="minorHAnsi" w:hAnsiTheme="minorHAnsi" w:cstheme="minorHAnsi"/>
                <w:bCs w:val="0"/>
                <w:color w:val="000000" w:themeColor="text1"/>
                <w:sz w:val="22"/>
                <w:szCs w:val="22"/>
              </w:rPr>
              <w:t xml:space="preserve">% Quota di </w:t>
            </w:r>
            <w:proofErr w:type="spellStart"/>
            <w:r>
              <w:rPr>
                <w:rFonts w:asciiTheme="minorHAnsi" w:hAnsiTheme="minorHAnsi" w:cstheme="minorHAnsi"/>
                <w:bCs w:val="0"/>
                <w:color w:val="000000" w:themeColor="text1"/>
                <w:sz w:val="22"/>
                <w:szCs w:val="22"/>
              </w:rPr>
              <w:t>premialità</w:t>
            </w:r>
            <w:proofErr w:type="spellEnd"/>
          </w:p>
        </w:tc>
        <w:tc>
          <w:tcPr>
            <w:tcW w:w="5467" w:type="dxa"/>
          </w:tcPr>
          <w:p w14:paraId="045C1A0F" w14:textId="77777777" w:rsidR="00103E2E" w:rsidRPr="009A1D53" w:rsidRDefault="00103E2E" w:rsidP="00B00DEF">
            <w:pPr>
              <w:pStyle w:val="NormaleWeb"/>
              <w:spacing w:beforeAutospacing="0" w:afterAutospacing="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sz w:val="22"/>
                <w:szCs w:val="22"/>
              </w:rPr>
            </w:pPr>
            <w:r w:rsidRPr="009A1D53">
              <w:rPr>
                <w:rFonts w:asciiTheme="minorHAnsi" w:hAnsiTheme="minorHAnsi" w:cstheme="minorHAnsi"/>
                <w:bCs w:val="0"/>
                <w:color w:val="000000" w:themeColor="text1"/>
                <w:sz w:val="22"/>
                <w:szCs w:val="22"/>
              </w:rPr>
              <w:t>Area di risultato per il singolo MMG</w:t>
            </w:r>
          </w:p>
        </w:tc>
      </w:tr>
      <w:tr w:rsidR="00103E2E" w:rsidRPr="009A1D53" w14:paraId="600034B4" w14:textId="77777777" w:rsidTr="00B00DEF">
        <w:trPr>
          <w:jc w:val="center"/>
        </w:trPr>
        <w:tc>
          <w:tcPr>
            <w:cnfStyle w:val="001000000000" w:firstRow="0" w:lastRow="0" w:firstColumn="1" w:lastColumn="0" w:oddVBand="0" w:evenVBand="0" w:oddHBand="0" w:evenHBand="0" w:firstRowFirstColumn="0" w:firstRowLastColumn="0" w:lastRowFirstColumn="0" w:lastRowLastColumn="0"/>
            <w:tcW w:w="3425" w:type="dxa"/>
            <w:vMerge w:val="restart"/>
          </w:tcPr>
          <w:p w14:paraId="79600604" w14:textId="29F28B64" w:rsidR="00103E2E" w:rsidRPr="002B166F" w:rsidRDefault="002B166F" w:rsidP="002B166F">
            <w:pPr>
              <w:pStyle w:val="NormaleWeb"/>
              <w:spacing w:beforeAutospacing="0" w:afterAutospacing="0"/>
              <w:jc w:val="both"/>
              <w:rPr>
                <w:rFonts w:asciiTheme="minorHAnsi" w:hAnsiTheme="minorHAnsi" w:cstheme="minorHAnsi"/>
                <w:b w:val="0"/>
                <w:bCs w:val="0"/>
                <w:color w:val="000000" w:themeColor="text1"/>
                <w:sz w:val="22"/>
                <w:szCs w:val="22"/>
              </w:rPr>
            </w:pPr>
            <w:r w:rsidRPr="002B166F">
              <w:rPr>
                <w:rFonts w:ascii="Calibri" w:eastAsia="Calibri" w:hAnsi="Calibri" w:cs="Calibri"/>
                <w:b w:val="0"/>
                <w:sz w:val="22"/>
                <w:szCs w:val="22"/>
              </w:rPr>
              <w:t>Avvio e applicazione di almeno uno scenario di teleconsulto per i propri pazienti in PIC</w:t>
            </w:r>
          </w:p>
        </w:tc>
        <w:tc>
          <w:tcPr>
            <w:tcW w:w="1740" w:type="dxa"/>
          </w:tcPr>
          <w:p w14:paraId="73D3C2C8" w14:textId="77777777" w:rsidR="00103E2E" w:rsidRPr="009A1D53" w:rsidRDefault="00103E2E" w:rsidP="00B00DEF">
            <w:pPr>
              <w:pStyle w:val="NormaleWeb"/>
              <w:spacing w:beforeAutospacing="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szCs w:val="22"/>
              </w:rPr>
            </w:pPr>
            <w:r w:rsidRPr="009A1D53">
              <w:rPr>
                <w:rFonts w:asciiTheme="minorHAnsi" w:hAnsiTheme="minorHAnsi" w:cstheme="minorHAnsi"/>
                <w:bCs/>
                <w:color w:val="000000" w:themeColor="text1"/>
                <w:sz w:val="22"/>
                <w:szCs w:val="22"/>
              </w:rPr>
              <w:t>50</w:t>
            </w:r>
          </w:p>
        </w:tc>
        <w:tc>
          <w:tcPr>
            <w:tcW w:w="5467" w:type="dxa"/>
          </w:tcPr>
          <w:p w14:paraId="1DE47243" w14:textId="4134347B" w:rsidR="00103E2E" w:rsidRPr="009A1D53" w:rsidRDefault="00103E2E" w:rsidP="002B166F">
            <w:pPr>
              <w:pStyle w:val="NormaleWeb"/>
              <w:spacing w:beforeAutospacing="0" w:afterAutospacing="0"/>
              <w:jc w:val="both"/>
              <w:cnfStyle w:val="000000000000" w:firstRow="0" w:lastRow="0" w:firstColumn="0" w:lastColumn="0" w:oddVBand="0" w:evenVBand="0" w:oddHBand="0" w:evenHBand="0" w:firstRowFirstColumn="0" w:firstRowLastColumn="0" w:lastRowFirstColumn="0" w:lastRowLastColumn="0"/>
            </w:pPr>
            <w:r w:rsidRPr="009A1D53">
              <w:rPr>
                <w:rFonts w:ascii="Calibri" w:eastAsia="Calibri" w:hAnsi="Calibri" w:cs="Calibri"/>
                <w:sz w:val="22"/>
                <w:szCs w:val="22"/>
              </w:rPr>
              <w:t xml:space="preserve">Compilazione ed invio al Dipartimento Cure Primarie del format di ADESIONE </w:t>
            </w:r>
            <w:r w:rsidR="002B166F">
              <w:rPr>
                <w:rFonts w:ascii="Calibri" w:eastAsia="Calibri" w:hAnsi="Calibri" w:cs="Calibri"/>
                <w:sz w:val="22"/>
                <w:szCs w:val="22"/>
              </w:rPr>
              <w:t>al Teleconsulto</w:t>
            </w:r>
          </w:p>
        </w:tc>
      </w:tr>
      <w:tr w:rsidR="00103E2E" w:rsidRPr="009A1D53" w14:paraId="23F3B9B3" w14:textId="77777777" w:rsidTr="00B00DEF">
        <w:trPr>
          <w:jc w:val="center"/>
        </w:trPr>
        <w:tc>
          <w:tcPr>
            <w:cnfStyle w:val="001000000000" w:firstRow="0" w:lastRow="0" w:firstColumn="1" w:lastColumn="0" w:oddVBand="0" w:evenVBand="0" w:oddHBand="0" w:evenHBand="0" w:firstRowFirstColumn="0" w:firstRowLastColumn="0" w:lastRowFirstColumn="0" w:lastRowLastColumn="0"/>
            <w:tcW w:w="3425" w:type="dxa"/>
            <w:vMerge/>
          </w:tcPr>
          <w:p w14:paraId="02F2B85C" w14:textId="77777777" w:rsidR="00103E2E" w:rsidRPr="009A1D53" w:rsidRDefault="00103E2E" w:rsidP="00B00DEF">
            <w:pPr>
              <w:pStyle w:val="NormaleWeb"/>
              <w:spacing w:beforeAutospacing="0" w:afterAutospacing="0"/>
              <w:jc w:val="both"/>
              <w:rPr>
                <w:rFonts w:asciiTheme="minorHAnsi" w:hAnsiTheme="minorHAnsi" w:cstheme="minorBidi"/>
                <w:b w:val="0"/>
                <w:bCs w:val="0"/>
                <w:strike/>
                <w:color w:val="000000" w:themeColor="text1"/>
                <w:sz w:val="22"/>
                <w:szCs w:val="22"/>
              </w:rPr>
            </w:pPr>
          </w:p>
        </w:tc>
        <w:tc>
          <w:tcPr>
            <w:tcW w:w="1740" w:type="dxa"/>
          </w:tcPr>
          <w:p w14:paraId="3497422B" w14:textId="77777777" w:rsidR="00103E2E" w:rsidRPr="009A1D53" w:rsidRDefault="00103E2E" w:rsidP="00B00DEF">
            <w:pPr>
              <w:pStyle w:val="NormaleWeb"/>
              <w:spacing w:beforeAutospacing="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szCs w:val="22"/>
              </w:rPr>
            </w:pPr>
            <w:r w:rsidRPr="009A1D53">
              <w:rPr>
                <w:rFonts w:asciiTheme="minorHAnsi" w:hAnsiTheme="minorHAnsi" w:cstheme="minorHAnsi"/>
                <w:bCs/>
                <w:color w:val="000000" w:themeColor="text1"/>
                <w:sz w:val="22"/>
                <w:szCs w:val="22"/>
              </w:rPr>
              <w:t>50</w:t>
            </w:r>
          </w:p>
        </w:tc>
        <w:tc>
          <w:tcPr>
            <w:tcW w:w="5467" w:type="dxa"/>
          </w:tcPr>
          <w:p w14:paraId="7919F979" w14:textId="77777777" w:rsidR="00103E2E" w:rsidRDefault="002B166F" w:rsidP="00B00DEF">
            <w:pPr>
              <w:jc w:val="both"/>
              <w:cnfStyle w:val="000000000000" w:firstRow="0" w:lastRow="0" w:firstColumn="0" w:lastColumn="0" w:oddVBand="0" w:evenVBand="0" w:oddHBand="0" w:evenHBand="0" w:firstRowFirstColumn="0" w:firstRowLastColumn="0" w:lastRowFirstColumn="0" w:lastRowLastColumn="0"/>
              <w:rPr>
                <w:rFonts w:cs="Calibri"/>
              </w:rPr>
            </w:pPr>
            <w:r w:rsidRPr="002B166F">
              <w:rPr>
                <w:rFonts w:cs="Calibri"/>
              </w:rPr>
              <w:t>Avvio e applicazione di almeno uno scenario di teleconsulto per</w:t>
            </w:r>
            <w:r>
              <w:rPr>
                <w:rFonts w:cs="Calibri"/>
              </w:rPr>
              <w:t xml:space="preserve"> almeno:</w:t>
            </w:r>
          </w:p>
          <w:p w14:paraId="6EB2DDEA" w14:textId="77777777" w:rsidR="002B166F" w:rsidRDefault="002B166F" w:rsidP="0067743C">
            <w:pPr>
              <w:pStyle w:val="Paragrafoelenco"/>
              <w:numPr>
                <w:ilvl w:val="0"/>
                <w:numId w:val="13"/>
              </w:numPr>
              <w:jc w:val="both"/>
              <w:cnfStyle w:val="000000000000" w:firstRow="0" w:lastRow="0" w:firstColumn="0" w:lastColumn="0" w:oddVBand="0" w:evenVBand="0" w:oddHBand="0" w:evenHBand="0" w:firstRowFirstColumn="0" w:firstRowLastColumn="0" w:lastRowFirstColumn="0" w:lastRowLastColumn="0"/>
              <w:rPr>
                <w:rFonts w:cs="Calibri"/>
              </w:rPr>
            </w:pPr>
            <w:r>
              <w:rPr>
                <w:rFonts w:cs="Calibri"/>
              </w:rPr>
              <w:t>10 pazienti in PIC con diabete</w:t>
            </w:r>
          </w:p>
          <w:p w14:paraId="57DFF423" w14:textId="48D5B852" w:rsidR="002B166F" w:rsidRDefault="00010D0C" w:rsidP="0067743C">
            <w:pPr>
              <w:pStyle w:val="Paragrafoelenco"/>
              <w:numPr>
                <w:ilvl w:val="0"/>
                <w:numId w:val="13"/>
              </w:numPr>
              <w:jc w:val="both"/>
              <w:cnfStyle w:val="000000000000" w:firstRow="0" w:lastRow="0" w:firstColumn="0" w:lastColumn="0" w:oddVBand="0" w:evenVBand="0" w:oddHBand="0" w:evenHBand="0" w:firstRowFirstColumn="0" w:firstRowLastColumn="0" w:lastRowFirstColumn="0" w:lastRowLastColumn="0"/>
              <w:rPr>
                <w:rFonts w:cs="Calibri"/>
              </w:rPr>
            </w:pPr>
            <w:r>
              <w:rPr>
                <w:rFonts w:cs="Calibri"/>
              </w:rPr>
              <w:t>4</w:t>
            </w:r>
            <w:r w:rsidR="002B166F">
              <w:rPr>
                <w:rFonts w:cs="Calibri"/>
              </w:rPr>
              <w:t xml:space="preserve"> pazienti in PIC con BPCO</w:t>
            </w:r>
          </w:p>
          <w:p w14:paraId="4B9D1718" w14:textId="70FB4BB0" w:rsidR="002B166F" w:rsidRDefault="00010D0C" w:rsidP="0067743C">
            <w:pPr>
              <w:pStyle w:val="Paragrafoelenco"/>
              <w:numPr>
                <w:ilvl w:val="0"/>
                <w:numId w:val="13"/>
              </w:numPr>
              <w:jc w:val="both"/>
              <w:cnfStyle w:val="000000000000" w:firstRow="0" w:lastRow="0" w:firstColumn="0" w:lastColumn="0" w:oddVBand="0" w:evenVBand="0" w:oddHBand="0" w:evenHBand="0" w:firstRowFirstColumn="0" w:firstRowLastColumn="0" w:lastRowFirstColumn="0" w:lastRowLastColumn="0"/>
              <w:rPr>
                <w:rFonts w:cs="Calibri"/>
              </w:rPr>
            </w:pPr>
            <w:r>
              <w:rPr>
                <w:rFonts w:cs="Calibri"/>
              </w:rPr>
              <w:t>3</w:t>
            </w:r>
            <w:r w:rsidR="002B166F">
              <w:rPr>
                <w:rFonts w:cs="Calibri"/>
              </w:rPr>
              <w:t xml:space="preserve"> pazienti in PIC con scompenso cardiaco</w:t>
            </w:r>
            <w:r w:rsidR="00720BA7">
              <w:rPr>
                <w:rFonts w:cs="Calibri"/>
              </w:rPr>
              <w:t xml:space="preserve"> a cui g</w:t>
            </w:r>
            <w:r w:rsidR="00720BA7" w:rsidRPr="00720BA7">
              <w:rPr>
                <w:rFonts w:cs="Calibri"/>
              </w:rPr>
              <w:t>arantire un'adeguata aderenza al trattamento con Beta bloccanti nello scompenso cardiaco nei 12 mesi successivi alla prima prescrizione dopo il ricovero indice</w:t>
            </w:r>
          </w:p>
          <w:p w14:paraId="7F2AB1CB" w14:textId="20B2A3A9" w:rsidR="009767F5" w:rsidRPr="002B166F" w:rsidRDefault="009767F5" w:rsidP="0067743C">
            <w:pPr>
              <w:pStyle w:val="Paragrafoelenco"/>
              <w:numPr>
                <w:ilvl w:val="0"/>
                <w:numId w:val="13"/>
              </w:numPr>
              <w:jc w:val="both"/>
              <w:cnfStyle w:val="000000000000" w:firstRow="0" w:lastRow="0" w:firstColumn="0" w:lastColumn="0" w:oddVBand="0" w:evenVBand="0" w:oddHBand="0" w:evenHBand="0" w:firstRowFirstColumn="0" w:firstRowLastColumn="0" w:lastRowFirstColumn="0" w:lastRowLastColumn="0"/>
              <w:rPr>
                <w:rFonts w:cs="Calibri"/>
              </w:rPr>
            </w:pPr>
            <w:r w:rsidRPr="0017154B">
              <w:rPr>
                <w:rFonts w:cs="Calibri"/>
                <w:highlight w:val="yellow"/>
              </w:rPr>
              <w:t xml:space="preserve">3 pazienti con sospetta diagnosi di decadimento cognitivo (valore </w:t>
            </w:r>
            <w:proofErr w:type="spellStart"/>
            <w:r w:rsidRPr="0017154B">
              <w:rPr>
                <w:highlight w:val="yellow"/>
              </w:rPr>
              <w:t>Frailty</w:t>
            </w:r>
            <w:proofErr w:type="spellEnd"/>
            <w:r w:rsidRPr="0017154B">
              <w:rPr>
                <w:highlight w:val="yellow"/>
              </w:rPr>
              <w:t xml:space="preserve"> Index …) con invio ai Centri</w:t>
            </w:r>
            <w:r w:rsidR="0017154B" w:rsidRPr="0017154B">
              <w:rPr>
                <w:highlight w:val="yellow"/>
              </w:rPr>
              <w:t xml:space="preserve"> regionali </w:t>
            </w:r>
            <w:r w:rsidRPr="0017154B">
              <w:rPr>
                <w:highlight w:val="yellow"/>
              </w:rPr>
              <w:t>per i Disturbi Cognitivi e le Demenze</w:t>
            </w:r>
            <w:r w:rsidR="0017154B" w:rsidRPr="0017154B">
              <w:rPr>
                <w:highlight w:val="yellow"/>
              </w:rPr>
              <w:t xml:space="preserve"> (CDCD)</w:t>
            </w:r>
          </w:p>
        </w:tc>
      </w:tr>
    </w:tbl>
    <w:p w14:paraId="34859C97" w14:textId="77777777" w:rsidR="00103E2E" w:rsidRPr="00E55093" w:rsidRDefault="00103E2E" w:rsidP="00E05CC6">
      <w:pPr>
        <w:pStyle w:val="paragraph"/>
        <w:spacing w:beforeAutospacing="0" w:after="0" w:afterAutospacing="0"/>
        <w:jc w:val="both"/>
        <w:rPr>
          <w:rFonts w:asciiTheme="minorHAnsi" w:hAnsiTheme="minorHAnsi" w:cstheme="minorHAnsi"/>
          <w:sz w:val="22"/>
          <w:szCs w:val="22"/>
        </w:rPr>
      </w:pPr>
    </w:p>
    <w:p w14:paraId="1D54C719" w14:textId="74E8183D" w:rsidR="00720BA7" w:rsidRDefault="00720BA7" w:rsidP="00720BA7">
      <w:pPr>
        <w:pStyle w:val="paragraph"/>
        <w:spacing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La </w:t>
      </w:r>
      <w:proofErr w:type="spellStart"/>
      <w:r>
        <w:rPr>
          <w:rFonts w:asciiTheme="minorHAnsi" w:hAnsiTheme="minorHAnsi" w:cstheme="minorHAnsi"/>
          <w:sz w:val="22"/>
          <w:szCs w:val="22"/>
        </w:rPr>
        <w:t>premialità</w:t>
      </w:r>
      <w:proofErr w:type="spellEnd"/>
      <w:r>
        <w:rPr>
          <w:rFonts w:asciiTheme="minorHAnsi" w:hAnsiTheme="minorHAnsi" w:cstheme="minorHAnsi"/>
          <w:sz w:val="22"/>
          <w:szCs w:val="22"/>
        </w:rPr>
        <w:t xml:space="preserve"> è pari ad Euro </w:t>
      </w:r>
      <w:r w:rsidR="009767F5" w:rsidRPr="00E55093">
        <w:rPr>
          <w:rFonts w:asciiTheme="minorHAnsi" w:hAnsiTheme="minorHAnsi" w:cstheme="minorHAnsi"/>
          <w:sz w:val="22"/>
          <w:szCs w:val="22"/>
        </w:rPr>
        <w:t>2.000</w:t>
      </w:r>
      <w:r w:rsidRPr="00E55093">
        <w:rPr>
          <w:rFonts w:asciiTheme="minorHAnsi" w:hAnsiTheme="minorHAnsi" w:cstheme="minorHAnsi"/>
          <w:sz w:val="22"/>
          <w:szCs w:val="22"/>
        </w:rPr>
        <w:t>,00</w:t>
      </w:r>
      <w:r>
        <w:rPr>
          <w:rFonts w:asciiTheme="minorHAnsi" w:hAnsiTheme="minorHAnsi" w:cstheme="minorHAnsi"/>
          <w:sz w:val="22"/>
          <w:szCs w:val="22"/>
        </w:rPr>
        <w:t xml:space="preserve"> per Medico a valere sui fondi residui di Governo Clinico</w:t>
      </w:r>
      <w:r w:rsidR="00E55093">
        <w:rPr>
          <w:rFonts w:asciiTheme="minorHAnsi" w:hAnsiTheme="minorHAnsi" w:cstheme="minorHAnsi"/>
          <w:sz w:val="22"/>
          <w:szCs w:val="22"/>
        </w:rPr>
        <w:t xml:space="preserve"> (</w:t>
      </w:r>
      <w:r w:rsidR="00E55093" w:rsidRPr="00E55093">
        <w:rPr>
          <w:rFonts w:asciiTheme="minorHAnsi" w:hAnsiTheme="minorHAnsi" w:cstheme="minorHAnsi"/>
          <w:sz w:val="22"/>
          <w:szCs w:val="22"/>
        </w:rPr>
        <w:t xml:space="preserve">DECRETO </w:t>
      </w:r>
      <w:r w:rsidR="00E55093">
        <w:rPr>
          <w:rFonts w:asciiTheme="minorHAnsi" w:hAnsiTheme="minorHAnsi" w:cstheme="minorHAnsi"/>
          <w:sz w:val="22"/>
          <w:szCs w:val="22"/>
        </w:rPr>
        <w:t xml:space="preserve">Direttore Generale welfare </w:t>
      </w:r>
      <w:r w:rsidR="00E55093" w:rsidRPr="00E55093">
        <w:rPr>
          <w:rFonts w:asciiTheme="minorHAnsi" w:hAnsiTheme="minorHAnsi" w:cstheme="minorHAnsi"/>
          <w:sz w:val="22"/>
          <w:szCs w:val="22"/>
        </w:rPr>
        <w:t>N. 4189 del 27/03/20</w:t>
      </w:r>
      <w:r w:rsidR="00E55093">
        <w:rPr>
          <w:rFonts w:asciiTheme="minorHAnsi" w:hAnsiTheme="minorHAnsi" w:cstheme="minorHAnsi"/>
          <w:sz w:val="22"/>
          <w:szCs w:val="22"/>
        </w:rPr>
        <w:t>25</w:t>
      </w:r>
      <w:r w:rsidR="00E55093" w:rsidRPr="00E55093">
        <w:rPr>
          <w:rFonts w:asciiTheme="minorHAnsi" w:hAnsiTheme="minorHAnsi" w:cstheme="minorHAnsi"/>
          <w:sz w:val="22"/>
          <w:szCs w:val="22"/>
        </w:rPr>
        <w:t>)</w:t>
      </w:r>
      <w:r>
        <w:rPr>
          <w:rFonts w:asciiTheme="minorHAnsi" w:hAnsiTheme="minorHAnsi" w:cstheme="minorHAnsi"/>
          <w:sz w:val="22"/>
          <w:szCs w:val="22"/>
        </w:rPr>
        <w:t>.</w:t>
      </w:r>
    </w:p>
    <w:p w14:paraId="72DC4821" w14:textId="77777777" w:rsidR="009767F5" w:rsidRDefault="009767F5" w:rsidP="00E05CC6">
      <w:pPr>
        <w:pStyle w:val="paragraph"/>
        <w:spacing w:beforeAutospacing="0" w:after="0" w:afterAutospacing="0"/>
        <w:jc w:val="both"/>
        <w:rPr>
          <w:rFonts w:asciiTheme="minorHAnsi" w:hAnsiTheme="minorHAnsi" w:cstheme="minorHAnsi"/>
          <w:sz w:val="22"/>
          <w:szCs w:val="22"/>
        </w:rPr>
      </w:pPr>
    </w:p>
    <w:p w14:paraId="0AEDFD01" w14:textId="77777777" w:rsidR="0090739B" w:rsidRDefault="0090739B" w:rsidP="00E05CC6">
      <w:pPr>
        <w:pStyle w:val="paragraph"/>
        <w:spacing w:beforeAutospacing="0" w:after="0" w:afterAutospacing="0"/>
        <w:jc w:val="both"/>
        <w:rPr>
          <w:rFonts w:asciiTheme="minorHAnsi" w:hAnsiTheme="minorHAnsi" w:cstheme="minorHAnsi"/>
          <w:sz w:val="22"/>
          <w:szCs w:val="22"/>
        </w:rPr>
      </w:pPr>
    </w:p>
    <w:p w14:paraId="06F6C211" w14:textId="77777777" w:rsidR="00E55093" w:rsidRDefault="00E55093" w:rsidP="00E05CC6">
      <w:pPr>
        <w:pStyle w:val="paragraph"/>
        <w:spacing w:beforeAutospacing="0" w:after="0" w:afterAutospacing="0"/>
        <w:jc w:val="both"/>
        <w:rPr>
          <w:rFonts w:asciiTheme="minorHAnsi" w:hAnsiTheme="minorHAnsi" w:cstheme="minorHAnsi"/>
          <w:sz w:val="22"/>
          <w:szCs w:val="22"/>
        </w:rPr>
      </w:pPr>
    </w:p>
    <w:p w14:paraId="437FBADA" w14:textId="77777777" w:rsidR="00E55093" w:rsidRDefault="00E55093" w:rsidP="00E05CC6">
      <w:pPr>
        <w:pStyle w:val="paragraph"/>
        <w:spacing w:beforeAutospacing="0" w:after="0" w:afterAutospacing="0"/>
        <w:jc w:val="both"/>
        <w:rPr>
          <w:rFonts w:asciiTheme="minorHAnsi" w:hAnsiTheme="minorHAnsi" w:cstheme="minorHAnsi"/>
          <w:sz w:val="22"/>
          <w:szCs w:val="22"/>
        </w:rPr>
      </w:pPr>
    </w:p>
    <w:p w14:paraId="5C246519" w14:textId="3B9980C6" w:rsidR="00720BA7" w:rsidRDefault="009767F5" w:rsidP="00E05CC6">
      <w:pPr>
        <w:pStyle w:val="paragraph"/>
        <w:spacing w:beforeAutospacing="0" w:after="0" w:afterAutospacing="0"/>
        <w:jc w:val="both"/>
        <w:rPr>
          <w:rFonts w:asciiTheme="minorHAnsi" w:hAnsiTheme="minorHAnsi" w:cstheme="minorHAnsi"/>
          <w:b/>
          <w:i/>
          <w:sz w:val="22"/>
          <w:szCs w:val="22"/>
        </w:rPr>
      </w:pPr>
      <w:proofErr w:type="spellStart"/>
      <w:r w:rsidRPr="009767F5">
        <w:rPr>
          <w:rFonts w:asciiTheme="minorHAnsi" w:hAnsiTheme="minorHAnsi" w:cstheme="minorHAnsi"/>
          <w:b/>
          <w:i/>
          <w:sz w:val="22"/>
          <w:szCs w:val="22"/>
        </w:rPr>
        <w:lastRenderedPageBreak/>
        <w:t>Telemonitoraggio</w:t>
      </w:r>
      <w:proofErr w:type="spellEnd"/>
      <w:r w:rsidRPr="009767F5">
        <w:rPr>
          <w:rFonts w:asciiTheme="minorHAnsi" w:hAnsiTheme="minorHAnsi" w:cstheme="minorHAnsi"/>
          <w:b/>
          <w:i/>
          <w:sz w:val="22"/>
          <w:szCs w:val="22"/>
        </w:rPr>
        <w:t xml:space="preserve"> di tipo 1 </w:t>
      </w:r>
      <w:r>
        <w:rPr>
          <w:rFonts w:asciiTheme="minorHAnsi" w:hAnsiTheme="minorHAnsi" w:cstheme="minorHAnsi"/>
          <w:b/>
          <w:i/>
          <w:sz w:val="22"/>
          <w:szCs w:val="22"/>
        </w:rPr>
        <w:t>nei pazienti in ADP/PSD</w:t>
      </w:r>
    </w:p>
    <w:p w14:paraId="65C62057" w14:textId="77777777" w:rsidR="0090739B" w:rsidRDefault="0090739B" w:rsidP="00E05CC6">
      <w:pPr>
        <w:pStyle w:val="paragraph"/>
        <w:spacing w:beforeAutospacing="0" w:after="0" w:afterAutospacing="0"/>
        <w:jc w:val="both"/>
        <w:rPr>
          <w:rFonts w:asciiTheme="minorHAnsi" w:hAnsiTheme="minorHAnsi" w:cstheme="minorHAnsi"/>
          <w:sz w:val="22"/>
          <w:szCs w:val="22"/>
        </w:rPr>
      </w:pPr>
    </w:p>
    <w:p w14:paraId="0E56DB66" w14:textId="1737BE49" w:rsidR="009767F5" w:rsidRPr="0017154B" w:rsidRDefault="009767F5" w:rsidP="00E05CC6">
      <w:pPr>
        <w:pStyle w:val="paragraph"/>
        <w:spacing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Tale </w:t>
      </w:r>
      <w:r w:rsidR="0017154B">
        <w:rPr>
          <w:rFonts w:asciiTheme="minorHAnsi" w:hAnsiTheme="minorHAnsi" w:cstheme="minorHAnsi"/>
          <w:sz w:val="22"/>
          <w:szCs w:val="22"/>
        </w:rPr>
        <w:t>attività</w:t>
      </w:r>
      <w:r>
        <w:rPr>
          <w:rFonts w:asciiTheme="minorHAnsi" w:hAnsiTheme="minorHAnsi" w:cstheme="minorHAnsi"/>
          <w:sz w:val="22"/>
          <w:szCs w:val="22"/>
        </w:rPr>
        <w:t xml:space="preserve"> ha lo scopo di favorire uno sviluppo qualitativo e quantitativo </w:t>
      </w:r>
      <w:r w:rsidR="0017154B">
        <w:rPr>
          <w:rFonts w:asciiTheme="minorHAnsi" w:hAnsiTheme="minorHAnsi" w:cstheme="minorHAnsi"/>
          <w:sz w:val="22"/>
          <w:szCs w:val="22"/>
        </w:rPr>
        <w:t xml:space="preserve">dei Programmi di Assistenza/Sorveglianza Domiciliare Programmata </w:t>
      </w:r>
      <w:r w:rsidR="0017154B" w:rsidRPr="009A1D53">
        <w:rPr>
          <w:rFonts w:asciiTheme="minorHAnsi" w:hAnsiTheme="minorHAnsi" w:cstheme="minorBidi"/>
          <w:color w:val="000000" w:themeColor="text1"/>
          <w:sz w:val="22"/>
          <w:szCs w:val="22"/>
        </w:rPr>
        <w:t xml:space="preserve">prevedendo che il monitoraggio delle condizioni di stabilità clinica dell’assistito in </w:t>
      </w:r>
      <w:proofErr w:type="spellStart"/>
      <w:r w:rsidR="0017154B">
        <w:rPr>
          <w:rFonts w:asciiTheme="minorHAnsi" w:hAnsiTheme="minorHAnsi" w:cstheme="minorBidi"/>
          <w:color w:val="000000" w:themeColor="text1"/>
          <w:sz w:val="22"/>
          <w:szCs w:val="22"/>
        </w:rPr>
        <w:t>telemonitoraggio</w:t>
      </w:r>
      <w:proofErr w:type="spellEnd"/>
      <w:r w:rsidR="0017154B">
        <w:rPr>
          <w:rFonts w:asciiTheme="minorHAnsi" w:hAnsiTheme="minorHAnsi" w:cstheme="minorBidi"/>
          <w:color w:val="000000" w:themeColor="text1"/>
          <w:sz w:val="22"/>
          <w:szCs w:val="22"/>
        </w:rPr>
        <w:t xml:space="preserve"> </w:t>
      </w:r>
      <w:r w:rsidR="0017154B" w:rsidRPr="009A1D53">
        <w:rPr>
          <w:rFonts w:asciiTheme="minorHAnsi" w:hAnsiTheme="minorHAnsi" w:cstheme="minorBidi"/>
          <w:color w:val="000000" w:themeColor="text1"/>
          <w:sz w:val="22"/>
          <w:szCs w:val="22"/>
        </w:rPr>
        <w:t xml:space="preserve">venga valorizzato in misura pari all’Accesso Domiciliare Programmato di Euro </w:t>
      </w:r>
      <w:r w:rsidR="0017154B" w:rsidRPr="0017154B">
        <w:rPr>
          <w:rFonts w:asciiTheme="minorHAnsi" w:hAnsiTheme="minorHAnsi" w:cstheme="minorBidi"/>
          <w:b/>
          <w:color w:val="000000" w:themeColor="text1"/>
          <w:sz w:val="22"/>
          <w:szCs w:val="22"/>
        </w:rPr>
        <w:t>18,90</w:t>
      </w:r>
      <w:r w:rsidR="0017154B">
        <w:rPr>
          <w:rFonts w:asciiTheme="minorHAnsi" w:hAnsiTheme="minorHAnsi" w:cstheme="minorBidi"/>
          <w:color w:val="000000" w:themeColor="text1"/>
          <w:sz w:val="22"/>
          <w:szCs w:val="22"/>
        </w:rPr>
        <w:t xml:space="preserve">. I dispositivi di </w:t>
      </w:r>
      <w:proofErr w:type="spellStart"/>
      <w:r w:rsidR="0017154B">
        <w:rPr>
          <w:rFonts w:asciiTheme="minorHAnsi" w:hAnsiTheme="minorHAnsi" w:cstheme="minorBidi"/>
          <w:color w:val="000000" w:themeColor="text1"/>
          <w:sz w:val="22"/>
          <w:szCs w:val="22"/>
        </w:rPr>
        <w:t>telemonitoraggio</w:t>
      </w:r>
      <w:proofErr w:type="spellEnd"/>
      <w:r w:rsidR="0017154B">
        <w:rPr>
          <w:rFonts w:asciiTheme="minorHAnsi" w:hAnsiTheme="minorHAnsi" w:cstheme="minorBidi"/>
          <w:color w:val="000000" w:themeColor="text1"/>
          <w:sz w:val="22"/>
          <w:szCs w:val="22"/>
        </w:rPr>
        <w:t xml:space="preserve"> di tipo 1 saranno distribuiti ai MAP dalle ASST presso le </w:t>
      </w:r>
      <w:proofErr w:type="spellStart"/>
      <w:r w:rsidR="0017154B">
        <w:rPr>
          <w:rFonts w:asciiTheme="minorHAnsi" w:hAnsiTheme="minorHAnsi" w:cstheme="minorBidi"/>
          <w:color w:val="000000" w:themeColor="text1"/>
          <w:sz w:val="22"/>
          <w:szCs w:val="22"/>
        </w:rPr>
        <w:t>CdC</w:t>
      </w:r>
      <w:proofErr w:type="spellEnd"/>
      <w:r w:rsidR="0017154B">
        <w:rPr>
          <w:rFonts w:asciiTheme="minorHAnsi" w:hAnsiTheme="minorHAnsi" w:cstheme="minorBidi"/>
          <w:color w:val="000000" w:themeColor="text1"/>
          <w:sz w:val="22"/>
          <w:szCs w:val="22"/>
        </w:rPr>
        <w:t xml:space="preserve">. </w:t>
      </w:r>
    </w:p>
    <w:p w14:paraId="7B475F59" w14:textId="77777777" w:rsidR="00720BA7" w:rsidRPr="002F0DAC" w:rsidRDefault="00720BA7" w:rsidP="00E05CC6">
      <w:pPr>
        <w:pStyle w:val="paragraph"/>
        <w:spacing w:beforeAutospacing="0" w:after="0" w:afterAutospacing="0"/>
        <w:jc w:val="both"/>
        <w:rPr>
          <w:rFonts w:ascii="Calibri" w:eastAsia="Calibri" w:hAnsi="Calibri" w:cs="Calibri"/>
          <w:sz w:val="22"/>
          <w:szCs w:val="22"/>
        </w:rPr>
      </w:pPr>
    </w:p>
    <w:p w14:paraId="4C72E660" w14:textId="77777777" w:rsidR="0090739B" w:rsidRPr="0090739B" w:rsidRDefault="0090739B" w:rsidP="0090739B">
      <w:pPr>
        <w:spacing w:after="0" w:line="240" w:lineRule="auto"/>
        <w:jc w:val="both"/>
        <w:rPr>
          <w:rFonts w:cstheme="minorHAnsi"/>
          <w:highlight w:val="yellow"/>
        </w:rPr>
      </w:pPr>
      <w:r w:rsidRPr="0090739B">
        <w:rPr>
          <w:rFonts w:cstheme="minorHAnsi"/>
          <w:highlight w:val="yellow"/>
        </w:rPr>
        <w:t>DA DEFINIRE:</w:t>
      </w:r>
    </w:p>
    <w:p w14:paraId="7A013161" w14:textId="21E98140" w:rsidR="00BC65BD" w:rsidRPr="0090739B" w:rsidRDefault="00BC65BD" w:rsidP="0067743C">
      <w:pPr>
        <w:pStyle w:val="Paragrafoelenco"/>
        <w:numPr>
          <w:ilvl w:val="0"/>
          <w:numId w:val="14"/>
        </w:numPr>
        <w:spacing w:after="0" w:line="240" w:lineRule="auto"/>
        <w:jc w:val="both"/>
        <w:rPr>
          <w:rFonts w:cstheme="minorHAnsi"/>
          <w:highlight w:val="yellow"/>
        </w:rPr>
      </w:pPr>
      <w:r w:rsidRPr="0090739B">
        <w:rPr>
          <w:rFonts w:cstheme="minorHAnsi"/>
          <w:highlight w:val="yellow"/>
        </w:rPr>
        <w:t>Diagnostica per l’invio precoce al trattamento delle malattie HCV corre</w:t>
      </w:r>
      <w:r w:rsidR="0090739B" w:rsidRPr="0090739B">
        <w:rPr>
          <w:rFonts w:cstheme="minorHAnsi"/>
          <w:highlight w:val="yellow"/>
        </w:rPr>
        <w:t xml:space="preserve">late </w:t>
      </w:r>
    </w:p>
    <w:p w14:paraId="3BF08427" w14:textId="16300B46" w:rsidR="0090739B" w:rsidRPr="0090739B" w:rsidRDefault="0090739B" w:rsidP="0067743C">
      <w:pPr>
        <w:pStyle w:val="Paragrafoelenco"/>
        <w:numPr>
          <w:ilvl w:val="0"/>
          <w:numId w:val="14"/>
        </w:numPr>
        <w:spacing w:after="0" w:line="240" w:lineRule="auto"/>
        <w:jc w:val="both"/>
        <w:rPr>
          <w:rFonts w:cstheme="minorHAnsi"/>
          <w:highlight w:val="yellow"/>
        </w:rPr>
      </w:pPr>
      <w:r w:rsidRPr="0090739B">
        <w:rPr>
          <w:rFonts w:cstheme="minorHAnsi"/>
          <w:highlight w:val="yellow"/>
        </w:rPr>
        <w:t xml:space="preserve">MUST per </w:t>
      </w:r>
      <w:r w:rsidR="00E55093">
        <w:rPr>
          <w:rFonts w:cstheme="minorHAnsi"/>
          <w:highlight w:val="yellow"/>
        </w:rPr>
        <w:t xml:space="preserve">pazienti </w:t>
      </w:r>
      <w:r w:rsidRPr="0090739B">
        <w:rPr>
          <w:rFonts w:cstheme="minorHAnsi"/>
          <w:highlight w:val="yellow"/>
        </w:rPr>
        <w:t>vaccinati al domicilio</w:t>
      </w:r>
    </w:p>
    <w:p w14:paraId="16FB8746" w14:textId="77777777" w:rsidR="00990CDF" w:rsidRPr="00990CDF" w:rsidRDefault="00990CDF" w:rsidP="00990CDF">
      <w:pPr>
        <w:spacing w:before="100" w:beforeAutospacing="1" w:after="100" w:afterAutospacing="1" w:line="240" w:lineRule="auto"/>
        <w:jc w:val="both"/>
        <w:rPr>
          <w:rFonts w:eastAsia="Times New Roman" w:cs="Calibri"/>
          <w:b/>
          <w:bCs/>
          <w:lang w:eastAsia="it-IT"/>
        </w:rPr>
      </w:pPr>
      <w:r w:rsidRPr="00990CDF">
        <w:rPr>
          <w:rFonts w:eastAsia="Times New Roman" w:cs="Calibri"/>
          <w:b/>
          <w:bCs/>
          <w:lang w:eastAsia="it-IT"/>
        </w:rPr>
        <w:t>Richieste di cura NON urgenti</w:t>
      </w:r>
    </w:p>
    <w:p w14:paraId="4A814BB7" w14:textId="000F74C1" w:rsidR="00990CDF" w:rsidRPr="00696E4D" w:rsidRDefault="00696E4D" w:rsidP="00696E4D">
      <w:pPr>
        <w:pStyle w:val="Paragrafoelenco"/>
        <w:numPr>
          <w:ilvl w:val="0"/>
          <w:numId w:val="15"/>
        </w:numPr>
        <w:jc w:val="both"/>
        <w:rPr>
          <w:rFonts w:eastAsia="Calibri" w:cstheme="minorHAnsi"/>
          <w:u w:val="single"/>
        </w:rPr>
      </w:pPr>
      <w:bookmarkStart w:id="1" w:name="_GoBack"/>
      <w:bookmarkEnd w:id="1"/>
      <w:r w:rsidRPr="00696E4D">
        <w:rPr>
          <w:rFonts w:cstheme="minorHAnsi"/>
          <w:u w:val="single"/>
        </w:rPr>
        <w:t>AMBULATORI DI CONTINUITA’ ASSISTENZIALE</w:t>
      </w:r>
      <w:r w:rsidRPr="00696E4D">
        <w:rPr>
          <w:rFonts w:cstheme="minorHAnsi"/>
          <w:u w:val="single"/>
        </w:rPr>
        <w:t xml:space="preserve">. </w:t>
      </w:r>
      <w:r w:rsidRPr="00696E4D">
        <w:rPr>
          <w:rFonts w:cstheme="minorHAnsi"/>
          <w:u w:val="single"/>
        </w:rPr>
        <w:t xml:space="preserve">Ai fini di ottemperare al requisito della presenza medica H 24 7/7, in ogni Casa di Comunità deve essere previsto e attivo almeno un ambulatorio di Continuità Assistenziale con estensione di apertura anche alla fascia oraria diurna 7/7. Gli ambulatori di Continuità Assistenziale possono assolvere anche alle funzioni degli Ambulatori Medici Temporanei (AMT). A tendere gli AMT, tenuto conto delle specifiche realtà territoriali (prossimità), dovranno essere ricompresi nell’unica fattispecie ambulatoriale con caratteristica di permanenza nelle </w:t>
      </w:r>
      <w:proofErr w:type="spellStart"/>
      <w:r w:rsidRPr="00696E4D">
        <w:rPr>
          <w:rFonts w:cstheme="minorHAnsi"/>
          <w:u w:val="single"/>
        </w:rPr>
        <w:t>CdC</w:t>
      </w:r>
      <w:proofErr w:type="spellEnd"/>
      <w:r w:rsidRPr="00696E4D">
        <w:rPr>
          <w:rFonts w:cstheme="minorHAnsi"/>
          <w:u w:val="single"/>
        </w:rPr>
        <w:t xml:space="preserve"> ovvero quella della Continuità </w:t>
      </w:r>
      <w:proofErr w:type="spellStart"/>
      <w:r w:rsidRPr="00696E4D">
        <w:rPr>
          <w:rFonts w:cstheme="minorHAnsi"/>
          <w:u w:val="single"/>
        </w:rPr>
        <w:t>Assistenziale</w:t>
      </w:r>
      <w:r w:rsidR="00990CDF">
        <w:t>Il</w:t>
      </w:r>
      <w:proofErr w:type="spellEnd"/>
      <w:r w:rsidR="00990CDF">
        <w:t xml:space="preserve"> Medico del ruolo unico a tempo indeterminato garantisce 3 ore a settimana in fascia oraria diurna (8:00-20:00) dal lunedì alla domenica negli Ambulatori di Continuità Assistenziale delle </w:t>
      </w:r>
      <w:proofErr w:type="spellStart"/>
      <w:r w:rsidR="00990CDF">
        <w:t>CdC</w:t>
      </w:r>
      <w:proofErr w:type="spellEnd"/>
      <w:r w:rsidR="00990CDF">
        <w:t xml:space="preserve"> </w:t>
      </w:r>
      <w:proofErr w:type="spellStart"/>
      <w:r w:rsidR="00990CDF">
        <w:t>Hub</w:t>
      </w:r>
      <w:proofErr w:type="spellEnd"/>
      <w:r w:rsidR="00990CDF">
        <w:t xml:space="preserve"> e/o nei siti di collocazione della Centrale UNICA (dove presente) per rispondere alle richieste di cura non urgenti di tutti gli assistiti di afferenza della </w:t>
      </w:r>
      <w:proofErr w:type="spellStart"/>
      <w:r w:rsidR="00990CDF">
        <w:t>CdC</w:t>
      </w:r>
      <w:proofErr w:type="spellEnd"/>
      <w:r w:rsidR="00990CDF">
        <w:t xml:space="preserve"> consentendo, in questo modo, ai Colleghi impegnati in attività a ciclo di scelta di svolgere nei propri studi attività di Medicina di Iniziativa per una presa in carico piena dei propri assistiti con riconoscimento economico Euro </w:t>
      </w:r>
      <w:r w:rsidR="00990CDF" w:rsidRPr="00696E4D">
        <w:rPr>
          <w:b/>
        </w:rPr>
        <w:t>80</w:t>
      </w:r>
      <w:r w:rsidR="00990CDF">
        <w:t>/ora.</w:t>
      </w:r>
    </w:p>
    <w:p w14:paraId="5D4289AA" w14:textId="6A071FC0" w:rsidR="00990CDF" w:rsidRDefault="00990CDF" w:rsidP="0067743C">
      <w:pPr>
        <w:pStyle w:val="Paragrafoelenco"/>
        <w:numPr>
          <w:ilvl w:val="0"/>
          <w:numId w:val="7"/>
        </w:numPr>
        <w:suppressAutoHyphens w:val="0"/>
        <w:spacing w:before="100" w:beforeAutospacing="1" w:after="100" w:afterAutospacing="1" w:line="240" w:lineRule="auto"/>
        <w:jc w:val="both"/>
        <w:rPr>
          <w:rFonts w:ascii="Calibri" w:eastAsia="Times New Roman" w:hAnsi="Calibri" w:cs="Calibri"/>
          <w:lang w:eastAsia="it-IT"/>
        </w:rPr>
      </w:pPr>
      <w:r w:rsidRPr="001E63F0">
        <w:rPr>
          <w:rFonts w:ascii="Calibri" w:eastAsia="Times New Roman" w:hAnsi="Calibri" w:cs="Calibri"/>
          <w:lang w:eastAsia="it-IT"/>
        </w:rPr>
        <w:t>Partecipazione alle attività del Team Rapido di Risposta Domiciliare (TRRD</w:t>
      </w:r>
      <w:r>
        <w:rPr>
          <w:rFonts w:ascii="Calibri" w:eastAsia="Times New Roman" w:hAnsi="Calibri" w:cs="Calibri"/>
          <w:lang w:eastAsia="it-IT"/>
        </w:rPr>
        <w:t>/UCA</w:t>
      </w:r>
      <w:r w:rsidRPr="001E63F0">
        <w:rPr>
          <w:rFonts w:ascii="Calibri" w:eastAsia="Times New Roman" w:hAnsi="Calibri" w:cs="Calibri"/>
          <w:lang w:eastAsia="it-IT"/>
        </w:rPr>
        <w:t xml:space="preserve">) </w:t>
      </w:r>
      <w:r>
        <w:t xml:space="preserve">con riconoscimento economico Euro </w:t>
      </w:r>
      <w:r>
        <w:rPr>
          <w:b/>
        </w:rPr>
        <w:t>10</w:t>
      </w:r>
      <w:r w:rsidRPr="00990CDF">
        <w:rPr>
          <w:b/>
        </w:rPr>
        <w:t>0</w:t>
      </w:r>
      <w:r>
        <w:t>/ora</w:t>
      </w:r>
    </w:p>
    <w:p w14:paraId="5CA824F5" w14:textId="026A6A4E" w:rsidR="00990CDF" w:rsidRPr="00990CDF" w:rsidRDefault="00990CDF" w:rsidP="0067743C">
      <w:pPr>
        <w:pStyle w:val="Paragrafoelenco"/>
        <w:numPr>
          <w:ilvl w:val="0"/>
          <w:numId w:val="7"/>
        </w:numPr>
        <w:suppressAutoHyphens w:val="0"/>
        <w:spacing w:before="100" w:beforeAutospacing="1" w:after="100" w:afterAutospacing="1" w:line="240" w:lineRule="auto"/>
        <w:jc w:val="both"/>
        <w:rPr>
          <w:rFonts w:ascii="Calibri" w:eastAsia="Times New Roman" w:hAnsi="Calibri" w:cs="Calibri"/>
          <w:lang w:eastAsia="it-IT"/>
        </w:rPr>
      </w:pPr>
      <w:r w:rsidRPr="001E63F0">
        <w:rPr>
          <w:rFonts w:ascii="Calibri" w:eastAsia="Times New Roman" w:hAnsi="Calibri" w:cs="Calibri"/>
          <w:lang w:eastAsia="it-IT"/>
        </w:rPr>
        <w:t>Partecipazione alle attività dell’Ospedale di Comunità (</w:t>
      </w:r>
      <w:proofErr w:type="spellStart"/>
      <w:r w:rsidRPr="001E63F0">
        <w:rPr>
          <w:rFonts w:ascii="Calibri" w:eastAsia="Times New Roman" w:hAnsi="Calibri" w:cs="Calibri"/>
          <w:lang w:eastAsia="it-IT"/>
        </w:rPr>
        <w:t>OdC</w:t>
      </w:r>
      <w:proofErr w:type="spellEnd"/>
      <w:r w:rsidRPr="001E63F0">
        <w:rPr>
          <w:rFonts w:ascii="Calibri" w:eastAsia="Times New Roman" w:hAnsi="Calibri" w:cs="Calibri"/>
          <w:lang w:eastAsia="it-IT"/>
        </w:rPr>
        <w:t xml:space="preserve">) </w:t>
      </w:r>
      <w:r>
        <w:t xml:space="preserve">con riconoscimento economico Euro </w:t>
      </w:r>
      <w:r>
        <w:rPr>
          <w:b/>
        </w:rPr>
        <w:t>10</w:t>
      </w:r>
      <w:r w:rsidRPr="00990CDF">
        <w:rPr>
          <w:b/>
        </w:rPr>
        <w:t>0</w:t>
      </w:r>
      <w:r>
        <w:t>/ora</w:t>
      </w:r>
    </w:p>
    <w:p w14:paraId="3952B910" w14:textId="01CD668A" w:rsidR="00990CDF" w:rsidRPr="00956FBC" w:rsidRDefault="00990CDF" w:rsidP="00956FBC">
      <w:pPr>
        <w:jc w:val="both"/>
      </w:pPr>
      <w:r w:rsidRPr="00990CDF">
        <w:t xml:space="preserve">Tale attività viene ricompresa ne disposto normativo contenuto all’art. 28 del vigente ACN che al </w:t>
      </w:r>
      <w:r w:rsidRPr="00990CDF">
        <w:rPr>
          <w:rFonts w:asciiTheme="minorHAnsi" w:hAnsiTheme="minorHAnsi" w:cstheme="minorBidi"/>
        </w:rPr>
        <w:t>Comma 2 definisce che</w:t>
      </w:r>
      <w:r w:rsidRPr="00D87D4F">
        <w:rPr>
          <w:rFonts w:asciiTheme="minorHAnsi" w:hAnsiTheme="minorHAnsi" w:cstheme="minorBidi"/>
          <w:i/>
        </w:rPr>
        <w:t xml:space="preserve"> Il medico con attività a ciclo di scelta non può svolgere in libera professione attività già previste dal presente Accordo e dagli accordi decentrati in favore dei propri assistiti. Fanno eccezione, a titolo esemplificati</w:t>
      </w:r>
      <w:r w:rsidR="00956FBC">
        <w:rPr>
          <w:rFonts w:asciiTheme="minorHAnsi" w:hAnsiTheme="minorHAnsi" w:cstheme="minorBidi"/>
          <w:i/>
        </w:rPr>
        <w:t xml:space="preserve">vo, alcune prestazioni tra cui … </w:t>
      </w:r>
      <w:r w:rsidRPr="00D87D4F">
        <w:rPr>
          <w:rFonts w:asciiTheme="minorHAnsi" w:hAnsiTheme="minorHAnsi" w:cstheme="minorBidi"/>
          <w:i/>
        </w:rPr>
        <w:t xml:space="preserve">specifiche attività definite dall’Azienda anche con soggetti terzi, in forma organizzata e continuativa, al di fuori degli orari di attività convenzionale, nell’ambito degli Accordi Attuativi Aziendali. </w:t>
      </w:r>
    </w:p>
    <w:p w14:paraId="5D511EB3" w14:textId="43D7A730" w:rsidR="00990CDF" w:rsidRPr="00F0404E" w:rsidRDefault="00990CDF" w:rsidP="00956FBC">
      <w:pPr>
        <w:spacing w:after="0" w:line="240" w:lineRule="auto"/>
        <w:jc w:val="both"/>
        <w:rPr>
          <w:rFonts w:eastAsia="Times New Roman" w:cstheme="minorHAnsi"/>
          <w:b/>
          <w:bCs/>
          <w:color w:val="FF0000"/>
          <w:u w:val="single"/>
          <w:lang w:eastAsia="it-IT"/>
        </w:rPr>
      </w:pPr>
      <w:r>
        <w:t xml:space="preserve">In virtù di tale previsione </w:t>
      </w:r>
      <w:r w:rsidR="00956FBC">
        <w:t xml:space="preserve">le parti convengono circa l’avvio, con l’Intesa </w:t>
      </w:r>
      <w:r>
        <w:t>2025</w:t>
      </w:r>
      <w:r w:rsidR="00956FBC">
        <w:t>,</w:t>
      </w:r>
      <w:r>
        <w:t xml:space="preserve"> </w:t>
      </w:r>
      <w:r w:rsidR="00956FBC">
        <w:t xml:space="preserve">di </w:t>
      </w:r>
      <w:r>
        <w:t xml:space="preserve">una </w:t>
      </w:r>
      <w:r w:rsidR="00956FBC">
        <w:t xml:space="preserve">specifica </w:t>
      </w:r>
      <w:r w:rsidR="00956FBC">
        <w:rPr>
          <w:b/>
        </w:rPr>
        <w:t>sperimentazione</w:t>
      </w:r>
      <w:r w:rsidR="00956FBC">
        <w:t xml:space="preserve"> che possa consentire ai Medici aderenti e alla Parte Pubblica di misurarne gli effetti, nelle sedi istituzionali della Medicina Genera</w:t>
      </w:r>
      <w:r w:rsidR="00E55093">
        <w:t>le, di una presenza medica H12 7</w:t>
      </w:r>
      <w:r w:rsidR="00956FBC">
        <w:t xml:space="preserve">/7 nelle </w:t>
      </w:r>
      <w:proofErr w:type="spellStart"/>
      <w:r w:rsidR="00956FBC">
        <w:t>CdC</w:t>
      </w:r>
      <w:proofErr w:type="spellEnd"/>
      <w:r w:rsidR="00956FBC">
        <w:t xml:space="preserve"> </w:t>
      </w:r>
      <w:proofErr w:type="spellStart"/>
      <w:r w:rsidR="00956FBC">
        <w:t>Hub</w:t>
      </w:r>
      <w:proofErr w:type="spellEnd"/>
      <w:r w:rsidR="00956FBC">
        <w:t xml:space="preserve"> secondo il fabbisogno orario rappresentato in tabella seguente.</w:t>
      </w:r>
    </w:p>
    <w:p w14:paraId="0C138F20" w14:textId="77777777" w:rsidR="00990CDF" w:rsidRDefault="00990CDF" w:rsidP="00990CDF">
      <w:pPr>
        <w:shd w:val="clear" w:color="auto" w:fill="FFFFFF"/>
        <w:spacing w:after="0" w:line="240" w:lineRule="auto"/>
        <w:jc w:val="both"/>
        <w:textAlignment w:val="baseline"/>
        <w:rPr>
          <w:rFonts w:eastAsia="Times New Roman" w:cstheme="minorHAnsi"/>
          <w:b/>
          <w:bCs/>
          <w:color w:val="242424"/>
          <w:lang w:eastAsia="it-IT"/>
        </w:rPr>
      </w:pPr>
    </w:p>
    <w:tbl>
      <w:tblPr>
        <w:tblStyle w:val="Tabellagriglia1chiara-colore6"/>
        <w:tblW w:w="6606" w:type="dxa"/>
        <w:tblLook w:val="04A0" w:firstRow="1" w:lastRow="0" w:firstColumn="1" w:lastColumn="0" w:noHBand="0" w:noVBand="1"/>
      </w:tblPr>
      <w:tblGrid>
        <w:gridCol w:w="2376"/>
        <w:gridCol w:w="1887"/>
        <w:gridCol w:w="2343"/>
      </w:tblGrid>
      <w:tr w:rsidR="00990CDF" w:rsidRPr="00F0404E" w14:paraId="6C593833" w14:textId="77777777" w:rsidTr="00B00DE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14:paraId="2D5EDFCD" w14:textId="77777777" w:rsidR="00990CDF" w:rsidRPr="00F0404E" w:rsidRDefault="00990CDF" w:rsidP="00B00DEF">
            <w:pPr>
              <w:rPr>
                <w:rFonts w:eastAsia="Times New Roman" w:cs="Calibri"/>
                <w:color w:val="000000"/>
                <w:lang w:eastAsia="it-IT"/>
              </w:rPr>
            </w:pPr>
            <w:r w:rsidRPr="00F0404E">
              <w:rPr>
                <w:rFonts w:eastAsia="Times New Roman" w:cs="Calibri"/>
                <w:color w:val="000000"/>
                <w:lang w:eastAsia="it-IT"/>
              </w:rPr>
              <w:t>N. Ore/anno/</w:t>
            </w:r>
            <w:proofErr w:type="spellStart"/>
            <w:r w:rsidRPr="00F0404E">
              <w:rPr>
                <w:rFonts w:eastAsia="Times New Roman" w:cs="Calibri"/>
                <w:color w:val="000000"/>
                <w:lang w:eastAsia="it-IT"/>
              </w:rPr>
              <w:t>CdC</w:t>
            </w:r>
            <w:proofErr w:type="spellEnd"/>
            <w:r w:rsidRPr="00F0404E">
              <w:rPr>
                <w:rFonts w:eastAsia="Times New Roman" w:cs="Calibri"/>
                <w:color w:val="000000"/>
                <w:lang w:eastAsia="it-IT"/>
              </w:rPr>
              <w:t xml:space="preserve"> HUB</w:t>
            </w:r>
          </w:p>
        </w:tc>
        <w:tc>
          <w:tcPr>
            <w:tcW w:w="1887" w:type="dxa"/>
            <w:noWrap/>
            <w:hideMark/>
          </w:tcPr>
          <w:p w14:paraId="2BBC777E" w14:textId="77777777" w:rsidR="00990CDF" w:rsidRPr="00F0404E" w:rsidRDefault="00990CDF" w:rsidP="00B00DEF">
            <w:pPr>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eastAsia="it-IT"/>
              </w:rPr>
            </w:pPr>
            <w:proofErr w:type="spellStart"/>
            <w:r w:rsidRPr="00F0404E">
              <w:rPr>
                <w:rFonts w:eastAsia="Times New Roman" w:cs="Calibri"/>
                <w:color w:val="000000"/>
                <w:lang w:eastAsia="it-IT"/>
              </w:rPr>
              <w:t>N.ore</w:t>
            </w:r>
            <w:proofErr w:type="spellEnd"/>
            <w:r w:rsidRPr="00F0404E">
              <w:rPr>
                <w:rFonts w:eastAsia="Times New Roman" w:cs="Calibri"/>
                <w:color w:val="000000"/>
                <w:lang w:eastAsia="it-IT"/>
              </w:rPr>
              <w:t xml:space="preserve"> MAP/anno</w:t>
            </w:r>
          </w:p>
        </w:tc>
        <w:tc>
          <w:tcPr>
            <w:tcW w:w="2343" w:type="dxa"/>
            <w:noWrap/>
            <w:hideMark/>
          </w:tcPr>
          <w:p w14:paraId="7840E334" w14:textId="77777777" w:rsidR="00990CDF" w:rsidRPr="00F0404E" w:rsidRDefault="00990CDF" w:rsidP="00B00DEF">
            <w:pPr>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eastAsia="it-IT"/>
              </w:rPr>
            </w:pPr>
            <w:proofErr w:type="spellStart"/>
            <w:r w:rsidRPr="00F0404E">
              <w:rPr>
                <w:rFonts w:eastAsia="Times New Roman" w:cs="Calibri"/>
                <w:color w:val="000000"/>
                <w:lang w:eastAsia="it-IT"/>
              </w:rPr>
              <w:t>N.ore</w:t>
            </w:r>
            <w:proofErr w:type="spellEnd"/>
            <w:r w:rsidRPr="00F0404E">
              <w:rPr>
                <w:rFonts w:eastAsia="Times New Roman" w:cs="Calibri"/>
                <w:color w:val="000000"/>
                <w:lang w:eastAsia="it-IT"/>
              </w:rPr>
              <w:t xml:space="preserve"> MAP/settimana</w:t>
            </w:r>
          </w:p>
        </w:tc>
      </w:tr>
      <w:tr w:rsidR="00990CDF" w:rsidRPr="00F0404E" w14:paraId="146E99AE" w14:textId="77777777" w:rsidTr="00B00DEF">
        <w:trPr>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14:paraId="35CDF58A" w14:textId="77777777" w:rsidR="00990CDF" w:rsidRPr="00F0404E" w:rsidRDefault="00990CDF" w:rsidP="00B00DEF">
            <w:pPr>
              <w:jc w:val="right"/>
              <w:rPr>
                <w:rFonts w:eastAsia="Times New Roman" w:cs="Calibri"/>
                <w:color w:val="000000"/>
                <w:lang w:eastAsia="it-IT"/>
              </w:rPr>
            </w:pPr>
            <w:r w:rsidRPr="00F0404E">
              <w:rPr>
                <w:rFonts w:eastAsia="Times New Roman" w:cs="Calibri"/>
                <w:color w:val="000000"/>
                <w:lang w:eastAsia="it-IT"/>
              </w:rPr>
              <w:t>832.200,00</w:t>
            </w:r>
          </w:p>
        </w:tc>
        <w:tc>
          <w:tcPr>
            <w:tcW w:w="1887" w:type="dxa"/>
            <w:noWrap/>
            <w:hideMark/>
          </w:tcPr>
          <w:p w14:paraId="39517019" w14:textId="7DE664D1" w:rsidR="00990CDF" w:rsidRPr="00F0404E" w:rsidRDefault="00E55093" w:rsidP="00E55093">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cs="Calibri"/>
                <w:color w:val="000000"/>
              </w:rPr>
              <w:t>147</w:t>
            </w:r>
          </w:p>
        </w:tc>
        <w:tc>
          <w:tcPr>
            <w:tcW w:w="2343" w:type="dxa"/>
            <w:noWrap/>
            <w:hideMark/>
          </w:tcPr>
          <w:p w14:paraId="04463512" w14:textId="7A2BD063" w:rsidR="00990CDF" w:rsidRPr="00F0404E" w:rsidRDefault="00E55093" w:rsidP="00B00DEF">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it-IT"/>
              </w:rPr>
            </w:pPr>
            <w:r>
              <w:rPr>
                <w:rFonts w:eastAsia="Times New Roman" w:cs="Calibri"/>
                <w:color w:val="000000"/>
                <w:lang w:eastAsia="it-IT"/>
              </w:rPr>
              <w:t>3</w:t>
            </w:r>
          </w:p>
        </w:tc>
      </w:tr>
    </w:tbl>
    <w:p w14:paraId="46303BE4" w14:textId="77777777" w:rsidR="00990CDF" w:rsidRDefault="00990CDF" w:rsidP="00990CDF">
      <w:pPr>
        <w:shd w:val="clear" w:color="auto" w:fill="FFFFFF"/>
        <w:spacing w:after="0" w:line="240" w:lineRule="auto"/>
        <w:jc w:val="both"/>
        <w:textAlignment w:val="baseline"/>
        <w:rPr>
          <w:b/>
        </w:rPr>
      </w:pPr>
    </w:p>
    <w:p w14:paraId="049C13EF" w14:textId="5A781C81" w:rsidR="00BC65BD" w:rsidRPr="009A1D53" w:rsidRDefault="00BC65BD" w:rsidP="009A1D53">
      <w:pPr>
        <w:spacing w:after="0" w:line="240" w:lineRule="auto"/>
        <w:ind w:hanging="426"/>
        <w:jc w:val="right"/>
        <w:rPr>
          <w:rFonts w:asciiTheme="minorHAnsi" w:hAnsiTheme="minorHAnsi" w:cstheme="minorHAnsi"/>
          <w:b/>
        </w:rPr>
      </w:pPr>
      <w:r w:rsidRPr="009A1D53">
        <w:rPr>
          <w:rFonts w:asciiTheme="minorHAnsi" w:hAnsiTheme="minorHAnsi" w:cstheme="minorHAnsi"/>
          <w:b/>
        </w:rPr>
        <w:t>ALLEGATO 1</w:t>
      </w:r>
    </w:p>
    <w:p w14:paraId="72B573FD" w14:textId="77777777" w:rsidR="00BC65BD" w:rsidRPr="009A1D53" w:rsidRDefault="00BC65BD" w:rsidP="009A1D53">
      <w:pPr>
        <w:spacing w:after="0" w:line="240" w:lineRule="auto"/>
        <w:ind w:right="-284" w:hanging="426"/>
        <w:jc w:val="center"/>
        <w:rPr>
          <w:rFonts w:asciiTheme="minorHAnsi" w:hAnsiTheme="minorHAnsi" w:cstheme="minorHAnsi"/>
          <w:b/>
          <w:caps/>
        </w:rPr>
      </w:pPr>
      <w:r w:rsidRPr="009A1D53">
        <w:rPr>
          <w:rFonts w:asciiTheme="minorHAnsi" w:hAnsiTheme="minorHAnsi" w:cstheme="minorHAnsi"/>
          <w:b/>
          <w:caps/>
        </w:rPr>
        <w:t>Modelli organizzativi per la partecipazione dei MMG all’attività vaccinale di ASST</w:t>
      </w:r>
    </w:p>
    <w:p w14:paraId="362FABA5" w14:textId="77777777" w:rsidR="00BC65BD" w:rsidRPr="009A1D53" w:rsidRDefault="00BC65BD" w:rsidP="009A1D53">
      <w:pPr>
        <w:spacing w:after="0" w:line="240" w:lineRule="auto"/>
        <w:ind w:right="-284" w:hanging="426"/>
        <w:jc w:val="center"/>
        <w:rPr>
          <w:rFonts w:asciiTheme="minorHAnsi" w:hAnsiTheme="minorHAnsi" w:cstheme="minorHAnsi"/>
          <w:b/>
          <w:caps/>
        </w:rPr>
      </w:pPr>
    </w:p>
    <w:p w14:paraId="5DD8A0CC" w14:textId="77777777" w:rsidR="00BC65BD" w:rsidRPr="009A1D53" w:rsidRDefault="00BC65BD" w:rsidP="0067743C">
      <w:pPr>
        <w:pStyle w:val="Paragrafoelenco"/>
        <w:numPr>
          <w:ilvl w:val="0"/>
          <w:numId w:val="3"/>
        </w:numPr>
        <w:tabs>
          <w:tab w:val="left" w:pos="142"/>
        </w:tabs>
        <w:suppressAutoHyphens w:val="0"/>
        <w:spacing w:after="0" w:line="240" w:lineRule="auto"/>
        <w:ind w:left="-142" w:firstLine="0"/>
        <w:jc w:val="both"/>
        <w:rPr>
          <w:rFonts w:cstheme="minorHAnsi"/>
          <w:b/>
          <w:color w:val="FF0000"/>
        </w:rPr>
      </w:pPr>
      <w:r w:rsidRPr="009A1D53">
        <w:rPr>
          <w:rFonts w:cstheme="minorHAnsi"/>
          <w:b/>
          <w:caps/>
        </w:rPr>
        <w:t>GESTIONE DIRETTA DELL’ATTIVITA’ IN AMBITO DI AFT</w:t>
      </w:r>
    </w:p>
    <w:p w14:paraId="5A9D935D" w14:textId="77777777" w:rsidR="00BC65BD" w:rsidRPr="009A1D53" w:rsidRDefault="00BC65BD" w:rsidP="009A1D53">
      <w:pPr>
        <w:pStyle w:val="Paragrafoelenco"/>
        <w:spacing w:after="0" w:line="240" w:lineRule="auto"/>
        <w:jc w:val="both"/>
        <w:rPr>
          <w:rFonts w:cstheme="minorHAnsi"/>
          <w:b/>
          <w:caps/>
        </w:rPr>
      </w:pPr>
    </w:p>
    <w:tbl>
      <w:tblPr>
        <w:tblStyle w:val="Tabellagriglia1chiara-colore6"/>
        <w:tblW w:w="10627" w:type="dxa"/>
        <w:jc w:val="center"/>
        <w:tblLayout w:type="fixed"/>
        <w:tblLook w:val="04A0" w:firstRow="1" w:lastRow="0" w:firstColumn="1" w:lastColumn="0" w:noHBand="0" w:noVBand="1"/>
      </w:tblPr>
      <w:tblGrid>
        <w:gridCol w:w="3114"/>
        <w:gridCol w:w="5528"/>
        <w:gridCol w:w="1985"/>
      </w:tblGrid>
      <w:tr w:rsidR="00BC65BD" w:rsidRPr="009A1D53" w14:paraId="3462D36C" w14:textId="77777777" w:rsidTr="00990CDF">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114" w:type="dxa"/>
          </w:tcPr>
          <w:p w14:paraId="6A2B4E25" w14:textId="77777777" w:rsidR="00BC65BD" w:rsidRPr="009A1D53" w:rsidRDefault="00BC65BD" w:rsidP="009A1D53">
            <w:pPr>
              <w:jc w:val="both"/>
              <w:rPr>
                <w:rFonts w:asciiTheme="minorHAnsi" w:hAnsiTheme="minorHAnsi" w:cstheme="minorHAnsi"/>
              </w:rPr>
            </w:pPr>
            <w:r w:rsidRPr="009A1D53">
              <w:rPr>
                <w:rFonts w:asciiTheme="minorHAnsi" w:hAnsiTheme="minorHAnsi" w:cstheme="minorHAnsi"/>
              </w:rPr>
              <w:t xml:space="preserve">Destinatari dell’offerta </w:t>
            </w:r>
          </w:p>
        </w:tc>
        <w:tc>
          <w:tcPr>
            <w:tcW w:w="7513" w:type="dxa"/>
            <w:gridSpan w:val="2"/>
          </w:tcPr>
          <w:p w14:paraId="1A61C8D8" w14:textId="761A817D" w:rsidR="00BC65BD" w:rsidRPr="009A1D53" w:rsidRDefault="00BC65BD" w:rsidP="00B134C6">
            <w:pPr>
              <w:pStyle w:val="Paragrafoelenco"/>
              <w:ind w:left="34" w:hanging="34"/>
              <w:jc w:val="both"/>
              <w:cnfStyle w:val="100000000000" w:firstRow="1" w:lastRow="0" w:firstColumn="0" w:lastColumn="0" w:oddVBand="0" w:evenVBand="0" w:oddHBand="0" w:evenHBand="0" w:firstRowFirstColumn="0" w:firstRowLastColumn="0" w:lastRowFirstColumn="0" w:lastRowLastColumn="0"/>
              <w:rPr>
                <w:rFonts w:cstheme="minorHAnsi"/>
                <w:b w:val="0"/>
              </w:rPr>
            </w:pPr>
            <w:r w:rsidRPr="009A1D53">
              <w:rPr>
                <w:rFonts w:cstheme="minorHAnsi"/>
                <w:b w:val="0"/>
              </w:rPr>
              <w:t xml:space="preserve">Assistiti target dell’ambito di AFT, iscritti negli elenchi </w:t>
            </w:r>
            <w:r w:rsidR="00B134C6">
              <w:rPr>
                <w:rFonts w:cstheme="minorHAnsi"/>
                <w:b w:val="0"/>
              </w:rPr>
              <w:t>MAP</w:t>
            </w:r>
            <w:r w:rsidRPr="009A1D53">
              <w:rPr>
                <w:rFonts w:cstheme="minorHAnsi"/>
                <w:b w:val="0"/>
              </w:rPr>
              <w:t xml:space="preserve"> </w:t>
            </w:r>
          </w:p>
        </w:tc>
      </w:tr>
      <w:tr w:rsidR="00BC65BD" w:rsidRPr="009A1D53" w14:paraId="79307244" w14:textId="77777777" w:rsidTr="00990CDF">
        <w:trPr>
          <w:trHeight w:val="430"/>
          <w:jc w:val="center"/>
        </w:trPr>
        <w:tc>
          <w:tcPr>
            <w:cnfStyle w:val="001000000000" w:firstRow="0" w:lastRow="0" w:firstColumn="1" w:lastColumn="0" w:oddVBand="0" w:evenVBand="0" w:oddHBand="0" w:evenHBand="0" w:firstRowFirstColumn="0" w:firstRowLastColumn="0" w:lastRowFirstColumn="0" w:lastRowLastColumn="0"/>
            <w:tcW w:w="3114" w:type="dxa"/>
          </w:tcPr>
          <w:p w14:paraId="4E559E9D" w14:textId="77777777" w:rsidR="00BC65BD" w:rsidRPr="009A1D53" w:rsidRDefault="00BC65BD" w:rsidP="009A1D53">
            <w:pPr>
              <w:jc w:val="both"/>
              <w:rPr>
                <w:rFonts w:asciiTheme="minorHAnsi" w:hAnsiTheme="minorHAnsi" w:cstheme="minorHAnsi"/>
              </w:rPr>
            </w:pPr>
            <w:r w:rsidRPr="009A1D53">
              <w:rPr>
                <w:rFonts w:asciiTheme="minorHAnsi" w:hAnsiTheme="minorHAnsi" w:cstheme="minorHAnsi"/>
              </w:rPr>
              <w:t>Proposta attiva di vaccinazione</w:t>
            </w:r>
          </w:p>
        </w:tc>
        <w:tc>
          <w:tcPr>
            <w:tcW w:w="7513" w:type="dxa"/>
            <w:gridSpan w:val="2"/>
          </w:tcPr>
          <w:p w14:paraId="45B2D8B5" w14:textId="33C7AFD2" w:rsidR="00BC65BD" w:rsidRPr="009A1D53" w:rsidRDefault="00BC65BD" w:rsidP="00B134C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1D53">
              <w:rPr>
                <w:rFonts w:asciiTheme="minorHAnsi" w:hAnsiTheme="minorHAnsi" w:cstheme="minorHAnsi"/>
              </w:rPr>
              <w:t xml:space="preserve">Ogni </w:t>
            </w:r>
            <w:r w:rsidR="00B134C6">
              <w:rPr>
                <w:rFonts w:asciiTheme="minorHAnsi" w:hAnsiTheme="minorHAnsi" w:cstheme="minorHAnsi"/>
              </w:rPr>
              <w:t>MAP</w:t>
            </w:r>
            <w:r w:rsidRPr="009A1D53">
              <w:rPr>
                <w:rFonts w:asciiTheme="minorHAnsi" w:hAnsiTheme="minorHAnsi" w:cstheme="minorHAnsi"/>
              </w:rPr>
              <w:t xml:space="preserve"> della AFT, per i propri assistiti</w:t>
            </w:r>
          </w:p>
        </w:tc>
      </w:tr>
      <w:tr w:rsidR="00BC65BD" w:rsidRPr="009A1D53" w14:paraId="6AD7E543" w14:textId="77777777" w:rsidTr="00990CDF">
        <w:trPr>
          <w:jc w:val="center"/>
        </w:trPr>
        <w:tc>
          <w:tcPr>
            <w:cnfStyle w:val="001000000000" w:firstRow="0" w:lastRow="0" w:firstColumn="1" w:lastColumn="0" w:oddVBand="0" w:evenVBand="0" w:oddHBand="0" w:evenHBand="0" w:firstRowFirstColumn="0" w:firstRowLastColumn="0" w:lastRowFirstColumn="0" w:lastRowLastColumn="0"/>
            <w:tcW w:w="3114" w:type="dxa"/>
          </w:tcPr>
          <w:p w14:paraId="529C84BA" w14:textId="77777777" w:rsidR="00BC65BD" w:rsidRPr="009A1D53" w:rsidRDefault="00BC65BD" w:rsidP="009A1D53">
            <w:pPr>
              <w:jc w:val="both"/>
              <w:rPr>
                <w:rFonts w:asciiTheme="minorHAnsi" w:hAnsiTheme="minorHAnsi" w:cstheme="minorHAnsi"/>
              </w:rPr>
            </w:pPr>
            <w:r w:rsidRPr="009A1D53">
              <w:rPr>
                <w:rFonts w:asciiTheme="minorHAnsi" w:hAnsiTheme="minorHAnsi" w:cstheme="minorHAnsi"/>
              </w:rPr>
              <w:t>Sede dell’attività</w:t>
            </w:r>
          </w:p>
        </w:tc>
        <w:tc>
          <w:tcPr>
            <w:tcW w:w="7513" w:type="dxa"/>
            <w:gridSpan w:val="2"/>
          </w:tcPr>
          <w:p w14:paraId="599CAE4F" w14:textId="77777777" w:rsidR="00BC65BD" w:rsidRPr="009A1D53" w:rsidRDefault="00BC65BD" w:rsidP="009A1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1D53">
              <w:rPr>
                <w:rFonts w:asciiTheme="minorHAnsi" w:hAnsiTheme="minorHAnsi" w:cstheme="minorHAnsi"/>
              </w:rPr>
              <w:t xml:space="preserve">Studio medico/altre sedi del territorio/Ambulatorio </w:t>
            </w:r>
            <w:proofErr w:type="spellStart"/>
            <w:r w:rsidRPr="009A1D53">
              <w:rPr>
                <w:rFonts w:asciiTheme="minorHAnsi" w:hAnsiTheme="minorHAnsi" w:cstheme="minorHAnsi"/>
              </w:rPr>
              <w:t>CdC</w:t>
            </w:r>
            <w:proofErr w:type="spellEnd"/>
          </w:p>
        </w:tc>
      </w:tr>
      <w:tr w:rsidR="00BC65BD" w:rsidRPr="009A1D53" w14:paraId="5C3018CB" w14:textId="77777777" w:rsidTr="00990CDF">
        <w:trPr>
          <w:jc w:val="center"/>
        </w:trPr>
        <w:tc>
          <w:tcPr>
            <w:cnfStyle w:val="001000000000" w:firstRow="0" w:lastRow="0" w:firstColumn="1" w:lastColumn="0" w:oddVBand="0" w:evenVBand="0" w:oddHBand="0" w:evenHBand="0" w:firstRowFirstColumn="0" w:firstRowLastColumn="0" w:lastRowFirstColumn="0" w:lastRowLastColumn="0"/>
            <w:tcW w:w="3114" w:type="dxa"/>
          </w:tcPr>
          <w:p w14:paraId="77833000" w14:textId="77777777" w:rsidR="00BC65BD" w:rsidRPr="009A1D53" w:rsidRDefault="00BC65BD" w:rsidP="009A1D53">
            <w:pPr>
              <w:jc w:val="both"/>
              <w:rPr>
                <w:rFonts w:asciiTheme="minorHAnsi" w:hAnsiTheme="minorHAnsi" w:cstheme="minorHAnsi"/>
              </w:rPr>
            </w:pPr>
            <w:r w:rsidRPr="009A1D53">
              <w:rPr>
                <w:rFonts w:asciiTheme="minorHAnsi" w:hAnsiTheme="minorHAnsi" w:cstheme="minorHAnsi"/>
              </w:rPr>
              <w:t>Agende ARVAX/non ARVAX</w:t>
            </w:r>
          </w:p>
        </w:tc>
        <w:tc>
          <w:tcPr>
            <w:tcW w:w="7513" w:type="dxa"/>
            <w:gridSpan w:val="2"/>
          </w:tcPr>
          <w:p w14:paraId="7ED56928" w14:textId="77777777" w:rsidR="00BC65BD" w:rsidRPr="009A1D53" w:rsidRDefault="00BC65BD" w:rsidP="009A1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1D53">
              <w:rPr>
                <w:rFonts w:asciiTheme="minorHAnsi" w:hAnsiTheme="minorHAnsi" w:cstheme="minorHAnsi"/>
              </w:rPr>
              <w:t>Personale infermieristico e amministrativo di studio</w:t>
            </w:r>
          </w:p>
        </w:tc>
      </w:tr>
      <w:tr w:rsidR="00BC65BD" w:rsidRPr="009A1D53" w14:paraId="0FBD7A90" w14:textId="77777777" w:rsidTr="00990CDF">
        <w:trPr>
          <w:jc w:val="center"/>
        </w:trPr>
        <w:tc>
          <w:tcPr>
            <w:cnfStyle w:val="001000000000" w:firstRow="0" w:lastRow="0" w:firstColumn="1" w:lastColumn="0" w:oddVBand="0" w:evenVBand="0" w:oddHBand="0" w:evenHBand="0" w:firstRowFirstColumn="0" w:firstRowLastColumn="0" w:lastRowFirstColumn="0" w:lastRowLastColumn="0"/>
            <w:tcW w:w="8642" w:type="dxa"/>
            <w:gridSpan w:val="2"/>
          </w:tcPr>
          <w:p w14:paraId="3C3407ED" w14:textId="77777777" w:rsidR="00BC65BD" w:rsidRPr="009A1D53" w:rsidRDefault="00BC65BD" w:rsidP="009A1D53">
            <w:pPr>
              <w:jc w:val="both"/>
              <w:rPr>
                <w:rFonts w:asciiTheme="minorHAnsi" w:hAnsiTheme="minorHAnsi" w:cstheme="minorHAnsi"/>
              </w:rPr>
            </w:pPr>
            <w:r w:rsidRPr="009A1D53">
              <w:rPr>
                <w:rFonts w:asciiTheme="minorHAnsi" w:hAnsiTheme="minorHAnsi" w:cstheme="minorHAnsi"/>
              </w:rPr>
              <w:t>Gestione vaccini – Magazzino Lotti e consegne</w:t>
            </w:r>
          </w:p>
        </w:tc>
        <w:tc>
          <w:tcPr>
            <w:tcW w:w="1985" w:type="dxa"/>
          </w:tcPr>
          <w:p w14:paraId="3320E351" w14:textId="330DF7C4" w:rsidR="00BC65BD" w:rsidRPr="009A1D53" w:rsidRDefault="00BC65BD" w:rsidP="00B134C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1D53">
              <w:rPr>
                <w:rFonts w:asciiTheme="minorHAnsi" w:hAnsiTheme="minorHAnsi" w:cstheme="minorHAnsi"/>
              </w:rPr>
              <w:t>ASST/</w:t>
            </w:r>
            <w:r w:rsidR="00B134C6">
              <w:rPr>
                <w:rFonts w:asciiTheme="minorHAnsi" w:hAnsiTheme="minorHAnsi" w:cstheme="minorHAnsi"/>
              </w:rPr>
              <w:t>MAP</w:t>
            </w:r>
          </w:p>
        </w:tc>
      </w:tr>
      <w:tr w:rsidR="00BC65BD" w:rsidRPr="009A1D53" w14:paraId="0B165702" w14:textId="77777777" w:rsidTr="00990CDF">
        <w:trPr>
          <w:jc w:val="center"/>
        </w:trPr>
        <w:tc>
          <w:tcPr>
            <w:cnfStyle w:val="001000000000" w:firstRow="0" w:lastRow="0" w:firstColumn="1" w:lastColumn="0" w:oddVBand="0" w:evenVBand="0" w:oddHBand="0" w:evenHBand="0" w:firstRowFirstColumn="0" w:firstRowLastColumn="0" w:lastRowFirstColumn="0" w:lastRowLastColumn="0"/>
            <w:tcW w:w="8642" w:type="dxa"/>
            <w:gridSpan w:val="2"/>
          </w:tcPr>
          <w:p w14:paraId="73139B82" w14:textId="77777777" w:rsidR="00BC65BD" w:rsidRPr="009A1D53" w:rsidRDefault="00BC65BD" w:rsidP="009A1D53">
            <w:pPr>
              <w:tabs>
                <w:tab w:val="left" w:pos="0"/>
              </w:tabs>
              <w:ind w:right="-1"/>
              <w:contextualSpacing/>
              <w:rPr>
                <w:rFonts w:asciiTheme="minorHAnsi" w:hAnsiTheme="minorHAnsi" w:cstheme="minorHAnsi"/>
              </w:rPr>
            </w:pPr>
            <w:r w:rsidRPr="009A1D53">
              <w:rPr>
                <w:rFonts w:asciiTheme="minorHAnsi" w:hAnsiTheme="minorHAnsi" w:cstheme="minorHAnsi"/>
              </w:rPr>
              <w:t>Gestione vaccini – Stoccaggio</w:t>
            </w:r>
          </w:p>
          <w:p w14:paraId="5241C914" w14:textId="77777777" w:rsidR="00BC65BD" w:rsidRPr="009A1D53" w:rsidRDefault="00BC65BD" w:rsidP="009A1D53">
            <w:pPr>
              <w:tabs>
                <w:tab w:val="left" w:pos="0"/>
              </w:tabs>
              <w:ind w:right="-1"/>
              <w:contextualSpacing/>
              <w:jc w:val="both"/>
              <w:rPr>
                <w:rFonts w:asciiTheme="minorHAnsi" w:hAnsiTheme="minorHAnsi" w:cstheme="minorHAnsi"/>
                <w:b w:val="0"/>
                <w:i/>
              </w:rPr>
            </w:pPr>
            <w:r w:rsidRPr="009A1D53">
              <w:rPr>
                <w:rFonts w:asciiTheme="minorHAnsi" w:hAnsiTheme="minorHAnsi" w:cstheme="minorHAnsi"/>
                <w:b w:val="0"/>
              </w:rPr>
              <w:t>Ai fini della garanzia di stabilità ed efficacia del prodotto, lo stoccaggio di vaccino in frigorifero richiede la disponibilità di idonee apparecchiature per il controllo del mantenimento della temperatura tra 2 e 8 °C, con registrazione dei valori H24, da produrre in caso di shock termico</w:t>
            </w:r>
            <w:r w:rsidRPr="009A1D53">
              <w:rPr>
                <w:rFonts w:asciiTheme="minorHAnsi" w:hAnsiTheme="minorHAnsi" w:cstheme="minorHAnsi"/>
                <w:b w:val="0"/>
                <w:i/>
              </w:rPr>
              <w:t>.</w:t>
            </w:r>
          </w:p>
          <w:p w14:paraId="40CBF209" w14:textId="77777777" w:rsidR="00BC65BD" w:rsidRPr="009A1D53" w:rsidRDefault="00BC65BD" w:rsidP="009A1D53">
            <w:pPr>
              <w:tabs>
                <w:tab w:val="left" w:pos="0"/>
              </w:tabs>
              <w:ind w:right="-1"/>
              <w:contextualSpacing/>
              <w:jc w:val="both"/>
              <w:rPr>
                <w:rFonts w:asciiTheme="minorHAnsi" w:hAnsiTheme="minorHAnsi" w:cstheme="minorHAnsi"/>
                <w:i/>
              </w:rPr>
            </w:pPr>
            <w:r w:rsidRPr="009A1D53">
              <w:rPr>
                <w:rFonts w:asciiTheme="minorHAnsi" w:hAnsiTheme="minorHAnsi" w:cstheme="minorHAnsi"/>
                <w:b w:val="0"/>
                <w:i/>
              </w:rPr>
              <w:t>La modalità organizzativa di sedute vaccinali pianificate da più MMG (</w:t>
            </w:r>
            <w:proofErr w:type="spellStart"/>
            <w:r w:rsidRPr="009A1D53">
              <w:rPr>
                <w:rFonts w:asciiTheme="minorHAnsi" w:hAnsiTheme="minorHAnsi" w:cstheme="minorHAnsi"/>
                <w:b w:val="0"/>
                <w:i/>
              </w:rPr>
              <w:t>vaxday</w:t>
            </w:r>
            <w:proofErr w:type="spellEnd"/>
            <w:r w:rsidRPr="009A1D53">
              <w:rPr>
                <w:rFonts w:asciiTheme="minorHAnsi" w:hAnsiTheme="minorHAnsi" w:cstheme="minorHAnsi"/>
                <w:b w:val="0"/>
                <w:i/>
              </w:rPr>
              <w:t>) consente, nella stessa giornata, il ritiro del vaccino e la restituzione dell’eventuale esubero, presso sedi ASST.</w:t>
            </w:r>
          </w:p>
        </w:tc>
        <w:tc>
          <w:tcPr>
            <w:tcW w:w="1985" w:type="dxa"/>
          </w:tcPr>
          <w:p w14:paraId="6B112114" w14:textId="77777777" w:rsidR="00BC65BD" w:rsidRPr="009A1D53" w:rsidRDefault="00BC65BD" w:rsidP="009A1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B2EE5FE" w14:textId="77777777" w:rsidR="00BC65BD" w:rsidRPr="009A1D53" w:rsidRDefault="00BC65BD" w:rsidP="009A1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13A0024" w14:textId="77777777" w:rsidR="00BC65BD" w:rsidRPr="009A1D53" w:rsidRDefault="00BC65BD" w:rsidP="009A1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92427C4" w14:textId="69AEF860" w:rsidR="00BC65BD" w:rsidRPr="009A1D53" w:rsidRDefault="00BC65BD" w:rsidP="00B134C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1D53">
              <w:rPr>
                <w:rFonts w:asciiTheme="minorHAnsi" w:hAnsiTheme="minorHAnsi" w:cstheme="minorHAnsi"/>
              </w:rPr>
              <w:t>ASST/</w:t>
            </w:r>
            <w:r w:rsidR="00B134C6">
              <w:rPr>
                <w:rFonts w:asciiTheme="minorHAnsi" w:hAnsiTheme="minorHAnsi" w:cstheme="minorHAnsi"/>
              </w:rPr>
              <w:t>MAP</w:t>
            </w:r>
          </w:p>
        </w:tc>
      </w:tr>
      <w:tr w:rsidR="00BC65BD" w:rsidRPr="009A1D53" w14:paraId="46F8449C" w14:textId="77777777" w:rsidTr="00990CDF">
        <w:trPr>
          <w:jc w:val="center"/>
        </w:trPr>
        <w:tc>
          <w:tcPr>
            <w:cnfStyle w:val="001000000000" w:firstRow="0" w:lastRow="0" w:firstColumn="1" w:lastColumn="0" w:oddVBand="0" w:evenVBand="0" w:oddHBand="0" w:evenHBand="0" w:firstRowFirstColumn="0" w:firstRowLastColumn="0" w:lastRowFirstColumn="0" w:lastRowLastColumn="0"/>
            <w:tcW w:w="3114" w:type="dxa"/>
          </w:tcPr>
          <w:p w14:paraId="7314A22B" w14:textId="77777777" w:rsidR="00BC65BD" w:rsidRPr="009A1D53" w:rsidRDefault="00BC65BD" w:rsidP="009A1D53">
            <w:pPr>
              <w:jc w:val="both"/>
              <w:rPr>
                <w:rFonts w:asciiTheme="minorHAnsi" w:hAnsiTheme="minorHAnsi" w:cstheme="minorHAnsi"/>
              </w:rPr>
            </w:pPr>
            <w:r w:rsidRPr="009A1D53">
              <w:rPr>
                <w:rFonts w:asciiTheme="minorHAnsi" w:hAnsiTheme="minorHAnsi" w:cstheme="minorHAnsi"/>
              </w:rPr>
              <w:t>Consenso informato /Anamnesi</w:t>
            </w:r>
          </w:p>
        </w:tc>
        <w:tc>
          <w:tcPr>
            <w:tcW w:w="7513" w:type="dxa"/>
            <w:gridSpan w:val="2"/>
          </w:tcPr>
          <w:p w14:paraId="799E3F88" w14:textId="333C0ACD" w:rsidR="00BC65BD" w:rsidRPr="009A1D53" w:rsidRDefault="00B134C6" w:rsidP="009A1D5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MAP</w:t>
            </w:r>
          </w:p>
        </w:tc>
      </w:tr>
      <w:tr w:rsidR="00BC65BD" w:rsidRPr="009A1D53" w14:paraId="797ADC89" w14:textId="77777777" w:rsidTr="00990CDF">
        <w:trPr>
          <w:jc w:val="center"/>
        </w:trPr>
        <w:tc>
          <w:tcPr>
            <w:cnfStyle w:val="001000000000" w:firstRow="0" w:lastRow="0" w:firstColumn="1" w:lastColumn="0" w:oddVBand="0" w:evenVBand="0" w:oddHBand="0" w:evenHBand="0" w:firstRowFirstColumn="0" w:firstRowLastColumn="0" w:lastRowFirstColumn="0" w:lastRowLastColumn="0"/>
            <w:tcW w:w="3114" w:type="dxa"/>
          </w:tcPr>
          <w:p w14:paraId="3D6CE66B" w14:textId="77777777" w:rsidR="00BC65BD" w:rsidRPr="009A1D53" w:rsidRDefault="00BC65BD" w:rsidP="009A1D53">
            <w:pPr>
              <w:jc w:val="both"/>
              <w:rPr>
                <w:rFonts w:asciiTheme="minorHAnsi" w:hAnsiTheme="minorHAnsi" w:cstheme="minorHAnsi"/>
              </w:rPr>
            </w:pPr>
            <w:r w:rsidRPr="009A1D53">
              <w:rPr>
                <w:rFonts w:asciiTheme="minorHAnsi" w:hAnsiTheme="minorHAnsi" w:cstheme="minorHAnsi"/>
              </w:rPr>
              <w:t>Seduta vaccinale</w:t>
            </w:r>
          </w:p>
        </w:tc>
        <w:tc>
          <w:tcPr>
            <w:tcW w:w="7513" w:type="dxa"/>
            <w:gridSpan w:val="2"/>
          </w:tcPr>
          <w:p w14:paraId="15D0773B" w14:textId="7535B1B2" w:rsidR="00BC65BD" w:rsidRPr="009A1D53" w:rsidRDefault="00B134C6" w:rsidP="009A1D5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MAP</w:t>
            </w:r>
            <w:r w:rsidR="00BC65BD" w:rsidRPr="009A1D53">
              <w:rPr>
                <w:rFonts w:asciiTheme="minorHAnsi" w:hAnsiTheme="minorHAnsi" w:cstheme="minorHAnsi"/>
              </w:rPr>
              <w:t xml:space="preserve"> e personale infermieristico di studio</w:t>
            </w:r>
          </w:p>
        </w:tc>
      </w:tr>
      <w:tr w:rsidR="00BC65BD" w:rsidRPr="009A1D53" w14:paraId="0F42BE77" w14:textId="77777777" w:rsidTr="00990CDF">
        <w:trPr>
          <w:jc w:val="center"/>
        </w:trPr>
        <w:tc>
          <w:tcPr>
            <w:cnfStyle w:val="001000000000" w:firstRow="0" w:lastRow="0" w:firstColumn="1" w:lastColumn="0" w:oddVBand="0" w:evenVBand="0" w:oddHBand="0" w:evenHBand="0" w:firstRowFirstColumn="0" w:firstRowLastColumn="0" w:lastRowFirstColumn="0" w:lastRowLastColumn="0"/>
            <w:tcW w:w="3114" w:type="dxa"/>
          </w:tcPr>
          <w:p w14:paraId="796B6642" w14:textId="77777777" w:rsidR="00BC65BD" w:rsidRPr="009A1D53" w:rsidRDefault="00BC65BD" w:rsidP="009A1D53">
            <w:pPr>
              <w:jc w:val="both"/>
              <w:rPr>
                <w:rFonts w:asciiTheme="minorHAnsi" w:hAnsiTheme="minorHAnsi" w:cstheme="minorHAnsi"/>
              </w:rPr>
            </w:pPr>
            <w:r w:rsidRPr="009A1D53">
              <w:rPr>
                <w:rFonts w:asciiTheme="minorHAnsi" w:hAnsiTheme="minorHAnsi" w:cstheme="minorHAnsi"/>
              </w:rPr>
              <w:t>Registrazione in portale ARVAX</w:t>
            </w:r>
          </w:p>
        </w:tc>
        <w:tc>
          <w:tcPr>
            <w:tcW w:w="7513" w:type="dxa"/>
            <w:gridSpan w:val="2"/>
          </w:tcPr>
          <w:p w14:paraId="283EE0CC" w14:textId="16B242DD" w:rsidR="00BC65BD" w:rsidRPr="009A1D53" w:rsidRDefault="00B134C6" w:rsidP="009A1D5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MAP</w:t>
            </w:r>
            <w:r w:rsidR="00BC65BD" w:rsidRPr="009A1D53">
              <w:rPr>
                <w:rFonts w:asciiTheme="minorHAnsi" w:hAnsiTheme="minorHAnsi" w:cstheme="minorHAnsi"/>
              </w:rPr>
              <w:t xml:space="preserve"> e personale infermieristico di studio</w:t>
            </w:r>
          </w:p>
        </w:tc>
      </w:tr>
    </w:tbl>
    <w:p w14:paraId="0E91923B" w14:textId="77777777" w:rsidR="00BC65BD" w:rsidRPr="009A1D53" w:rsidRDefault="00BC65BD" w:rsidP="009A1D53">
      <w:pPr>
        <w:spacing w:after="0" w:line="240" w:lineRule="auto"/>
        <w:jc w:val="both"/>
        <w:rPr>
          <w:rFonts w:asciiTheme="minorHAnsi" w:hAnsiTheme="minorHAnsi" w:cstheme="minorHAnsi"/>
          <w:b/>
        </w:rPr>
      </w:pPr>
    </w:p>
    <w:p w14:paraId="01A3A15A" w14:textId="77777777" w:rsidR="00BC65BD" w:rsidRPr="009A1D53" w:rsidRDefault="00BC65BD" w:rsidP="009A1D53">
      <w:pPr>
        <w:spacing w:after="0" w:line="240" w:lineRule="auto"/>
        <w:ind w:left="-284"/>
        <w:jc w:val="both"/>
        <w:rPr>
          <w:rFonts w:asciiTheme="minorHAnsi" w:hAnsiTheme="minorHAnsi" w:cstheme="minorHAnsi"/>
        </w:rPr>
      </w:pPr>
      <w:r w:rsidRPr="009A1D53">
        <w:rPr>
          <w:rFonts w:asciiTheme="minorHAnsi" w:hAnsiTheme="minorHAnsi" w:cstheme="minorHAnsi"/>
        </w:rPr>
        <w:t>La retribuzione per l’attività svolta dal MMG, con il contributo del personale infermieristico/amministrativo di studio, è riconosciuta come segue:</w:t>
      </w:r>
    </w:p>
    <w:p w14:paraId="7D71AAD8" w14:textId="77777777" w:rsidR="00BC65BD" w:rsidRPr="009A1D53" w:rsidRDefault="00BC65BD" w:rsidP="0067743C">
      <w:pPr>
        <w:pStyle w:val="Paragrafoelenco"/>
        <w:numPr>
          <w:ilvl w:val="0"/>
          <w:numId w:val="2"/>
        </w:numPr>
        <w:spacing w:after="0" w:line="240" w:lineRule="auto"/>
        <w:jc w:val="both"/>
        <w:rPr>
          <w:rFonts w:cstheme="minorHAnsi"/>
        </w:rPr>
      </w:pPr>
      <w:r w:rsidRPr="009A1D53">
        <w:rPr>
          <w:rFonts w:cstheme="minorHAnsi"/>
        </w:rPr>
        <w:t>Compenso per singolo inoculo: € 6,16</w:t>
      </w:r>
    </w:p>
    <w:p w14:paraId="0CB426AC" w14:textId="77777777" w:rsidR="00BC65BD" w:rsidRPr="009A1D53" w:rsidRDefault="00BC65BD" w:rsidP="0067743C">
      <w:pPr>
        <w:pStyle w:val="Paragrafoelenco"/>
        <w:numPr>
          <w:ilvl w:val="0"/>
          <w:numId w:val="2"/>
        </w:numPr>
        <w:spacing w:after="0" w:line="240" w:lineRule="auto"/>
        <w:jc w:val="both"/>
        <w:rPr>
          <w:rFonts w:cstheme="minorHAnsi"/>
        </w:rPr>
      </w:pPr>
      <w:r w:rsidRPr="009A1D53">
        <w:rPr>
          <w:rFonts w:cstheme="minorHAnsi"/>
        </w:rPr>
        <w:t xml:space="preserve">Compenso aggiuntivo per vaccinazione al domicilio: </w:t>
      </w:r>
      <w:r w:rsidRPr="009A1D53">
        <w:rPr>
          <w:rFonts w:eastAsia="Times New Roman" w:cstheme="minorHAnsi"/>
          <w:lang w:eastAsia="it-IT"/>
        </w:rPr>
        <w:t>€ 18,90</w:t>
      </w:r>
    </w:p>
    <w:p w14:paraId="763C396C" w14:textId="5173E5BC" w:rsidR="00BC65BD" w:rsidRPr="009A1D53" w:rsidRDefault="00BC65BD" w:rsidP="0067743C">
      <w:pPr>
        <w:pStyle w:val="Paragrafoelenco"/>
        <w:numPr>
          <w:ilvl w:val="0"/>
          <w:numId w:val="2"/>
        </w:numPr>
        <w:spacing w:after="0" w:line="240" w:lineRule="auto"/>
        <w:jc w:val="both"/>
        <w:rPr>
          <w:rFonts w:cstheme="minorHAnsi"/>
        </w:rPr>
      </w:pPr>
      <w:r w:rsidRPr="009A1D53">
        <w:rPr>
          <w:rFonts w:cstheme="minorHAnsi"/>
        </w:rPr>
        <w:t>Riconoscimento per raggiungimento obiettivi di progetto</w:t>
      </w:r>
      <w:r w:rsidR="00B134C6">
        <w:rPr>
          <w:rFonts w:cstheme="minorHAnsi"/>
        </w:rPr>
        <w:t xml:space="preserve"> pari a Euro 1.500,00</w:t>
      </w:r>
      <w:r w:rsidRPr="009A1D53">
        <w:rPr>
          <w:rFonts w:cstheme="minorHAnsi"/>
        </w:rPr>
        <w:t xml:space="preserve"> </w:t>
      </w:r>
    </w:p>
    <w:p w14:paraId="7F73D320" w14:textId="77777777" w:rsidR="00BC65BD" w:rsidRPr="009A1D53" w:rsidRDefault="00BC65BD" w:rsidP="009A1D53">
      <w:pPr>
        <w:pStyle w:val="Paragrafoelenco"/>
        <w:tabs>
          <w:tab w:val="left" w:pos="993"/>
        </w:tabs>
        <w:spacing w:after="0" w:line="240" w:lineRule="auto"/>
        <w:ind w:left="426"/>
        <w:jc w:val="both"/>
        <w:rPr>
          <w:rFonts w:cstheme="minorHAnsi"/>
        </w:rPr>
      </w:pPr>
    </w:p>
    <w:p w14:paraId="19776C3C" w14:textId="77777777" w:rsidR="00BC65BD" w:rsidRPr="009A1D53" w:rsidRDefault="00BC65BD" w:rsidP="0067743C">
      <w:pPr>
        <w:pStyle w:val="Paragrafoelenco"/>
        <w:numPr>
          <w:ilvl w:val="0"/>
          <w:numId w:val="3"/>
        </w:numPr>
        <w:tabs>
          <w:tab w:val="left" w:pos="142"/>
        </w:tabs>
        <w:suppressAutoHyphens w:val="0"/>
        <w:spacing w:after="0" w:line="240" w:lineRule="auto"/>
        <w:ind w:left="-142" w:firstLine="0"/>
        <w:jc w:val="both"/>
        <w:rPr>
          <w:rFonts w:cstheme="minorHAnsi"/>
          <w:b/>
        </w:rPr>
      </w:pPr>
      <w:r w:rsidRPr="009A1D53">
        <w:rPr>
          <w:rFonts w:cstheme="minorHAnsi"/>
          <w:b/>
          <w:caps/>
        </w:rPr>
        <w:t>PARTECIPAZIONE DELLA AFT ALL’ATTIVITA’ GESTITA DAL CENTRO VACCINALE</w:t>
      </w:r>
    </w:p>
    <w:p w14:paraId="15800C25" w14:textId="77777777" w:rsidR="00BC65BD" w:rsidRPr="009A1D53" w:rsidRDefault="00BC65BD" w:rsidP="009A1D53">
      <w:pPr>
        <w:spacing w:after="0" w:line="240" w:lineRule="auto"/>
        <w:jc w:val="both"/>
        <w:rPr>
          <w:rFonts w:asciiTheme="minorHAnsi" w:hAnsiTheme="minorHAnsi" w:cstheme="minorHAnsi"/>
          <w:b/>
        </w:rPr>
      </w:pPr>
    </w:p>
    <w:tbl>
      <w:tblPr>
        <w:tblStyle w:val="Tabellagriglia1chiara-colore6"/>
        <w:tblW w:w="10060" w:type="dxa"/>
        <w:jc w:val="center"/>
        <w:tblLook w:val="04A0" w:firstRow="1" w:lastRow="0" w:firstColumn="1" w:lastColumn="0" w:noHBand="0" w:noVBand="1"/>
      </w:tblPr>
      <w:tblGrid>
        <w:gridCol w:w="3114"/>
        <w:gridCol w:w="1276"/>
        <w:gridCol w:w="5670"/>
      </w:tblGrid>
      <w:tr w:rsidR="00BC65BD" w:rsidRPr="009A1D53" w14:paraId="5A8EA195" w14:textId="77777777" w:rsidTr="00990CDF">
        <w:trPr>
          <w:cnfStyle w:val="100000000000" w:firstRow="1" w:lastRow="0" w:firstColumn="0" w:lastColumn="0" w:oddVBand="0" w:evenVBand="0" w:oddHBand="0"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3114" w:type="dxa"/>
          </w:tcPr>
          <w:p w14:paraId="6C5EB2D1" w14:textId="77777777" w:rsidR="00BC65BD" w:rsidRPr="009A1D53" w:rsidRDefault="00BC65BD" w:rsidP="009A1D53">
            <w:pPr>
              <w:jc w:val="both"/>
              <w:rPr>
                <w:rFonts w:asciiTheme="minorHAnsi" w:hAnsiTheme="minorHAnsi" w:cstheme="minorHAnsi"/>
              </w:rPr>
            </w:pPr>
            <w:r w:rsidRPr="009A1D53">
              <w:rPr>
                <w:rFonts w:asciiTheme="minorHAnsi" w:hAnsiTheme="minorHAnsi" w:cstheme="minorHAnsi"/>
              </w:rPr>
              <w:t xml:space="preserve">Destinatari dell’offerta </w:t>
            </w:r>
          </w:p>
        </w:tc>
        <w:tc>
          <w:tcPr>
            <w:tcW w:w="6946" w:type="dxa"/>
            <w:gridSpan w:val="2"/>
          </w:tcPr>
          <w:p w14:paraId="07FEF1CB" w14:textId="79495BC4" w:rsidR="00BC65BD" w:rsidRPr="009A1D53" w:rsidRDefault="00BC65BD" w:rsidP="00B134C6">
            <w:pPr>
              <w:pStyle w:val="Paragrafoelenco"/>
              <w:ind w:left="34" w:hanging="34"/>
              <w:jc w:val="both"/>
              <w:cnfStyle w:val="100000000000" w:firstRow="1" w:lastRow="0" w:firstColumn="0" w:lastColumn="0" w:oddVBand="0" w:evenVBand="0" w:oddHBand="0" w:evenHBand="0" w:firstRowFirstColumn="0" w:firstRowLastColumn="0" w:lastRowFirstColumn="0" w:lastRowLastColumn="0"/>
              <w:rPr>
                <w:rFonts w:cstheme="minorHAnsi"/>
                <w:b w:val="0"/>
              </w:rPr>
            </w:pPr>
            <w:r w:rsidRPr="009A1D53">
              <w:rPr>
                <w:rFonts w:cstheme="minorHAnsi"/>
                <w:b w:val="0"/>
              </w:rPr>
              <w:t xml:space="preserve">Assistiti target dell’ambito di AFT, iscritti negli elenchi di </w:t>
            </w:r>
            <w:r w:rsidR="00B134C6">
              <w:rPr>
                <w:rFonts w:cstheme="minorHAnsi"/>
                <w:b w:val="0"/>
              </w:rPr>
              <w:t>MAP</w:t>
            </w:r>
            <w:r w:rsidRPr="009A1D53">
              <w:rPr>
                <w:rFonts w:cstheme="minorHAnsi"/>
                <w:b w:val="0"/>
              </w:rPr>
              <w:t xml:space="preserve"> o afferenti agli AMT del territorio</w:t>
            </w:r>
          </w:p>
        </w:tc>
      </w:tr>
      <w:tr w:rsidR="00BC65BD" w:rsidRPr="009A1D53" w14:paraId="5C29A3EB" w14:textId="77777777" w:rsidTr="00990CDF">
        <w:trPr>
          <w:jc w:val="center"/>
        </w:trPr>
        <w:tc>
          <w:tcPr>
            <w:cnfStyle w:val="001000000000" w:firstRow="0" w:lastRow="0" w:firstColumn="1" w:lastColumn="0" w:oddVBand="0" w:evenVBand="0" w:oddHBand="0" w:evenHBand="0" w:firstRowFirstColumn="0" w:firstRowLastColumn="0" w:lastRowFirstColumn="0" w:lastRowLastColumn="0"/>
            <w:tcW w:w="3114" w:type="dxa"/>
          </w:tcPr>
          <w:p w14:paraId="2CD9AABF" w14:textId="77777777" w:rsidR="00BC65BD" w:rsidRPr="009A1D53" w:rsidRDefault="00BC65BD" w:rsidP="009A1D53">
            <w:pPr>
              <w:jc w:val="both"/>
              <w:rPr>
                <w:rFonts w:asciiTheme="minorHAnsi" w:hAnsiTheme="minorHAnsi" w:cstheme="minorHAnsi"/>
              </w:rPr>
            </w:pPr>
            <w:r w:rsidRPr="009A1D53">
              <w:rPr>
                <w:rFonts w:asciiTheme="minorHAnsi" w:hAnsiTheme="minorHAnsi" w:cstheme="minorHAnsi"/>
              </w:rPr>
              <w:t>Proposta attiva di vaccinazione</w:t>
            </w:r>
          </w:p>
        </w:tc>
        <w:tc>
          <w:tcPr>
            <w:tcW w:w="6946" w:type="dxa"/>
            <w:gridSpan w:val="2"/>
          </w:tcPr>
          <w:p w14:paraId="35781E28" w14:textId="60D12F79" w:rsidR="00BC65BD" w:rsidRPr="009A1D53" w:rsidRDefault="00BC65BD" w:rsidP="00B134C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1D53">
              <w:rPr>
                <w:rFonts w:asciiTheme="minorHAnsi" w:hAnsiTheme="minorHAnsi" w:cstheme="minorHAnsi"/>
              </w:rPr>
              <w:t xml:space="preserve">Ogni </w:t>
            </w:r>
            <w:r w:rsidR="00B134C6">
              <w:rPr>
                <w:rFonts w:asciiTheme="minorHAnsi" w:hAnsiTheme="minorHAnsi" w:cstheme="minorHAnsi"/>
              </w:rPr>
              <w:t>MAP</w:t>
            </w:r>
            <w:r w:rsidRPr="009A1D53">
              <w:rPr>
                <w:rFonts w:asciiTheme="minorHAnsi" w:hAnsiTheme="minorHAnsi" w:cstheme="minorHAnsi"/>
              </w:rPr>
              <w:t xml:space="preserve"> della AFT, per i propri assistiti</w:t>
            </w:r>
          </w:p>
        </w:tc>
      </w:tr>
      <w:tr w:rsidR="00BC65BD" w:rsidRPr="009A1D53" w14:paraId="0FCA93E2" w14:textId="77777777" w:rsidTr="00990CDF">
        <w:trPr>
          <w:jc w:val="center"/>
        </w:trPr>
        <w:tc>
          <w:tcPr>
            <w:cnfStyle w:val="001000000000" w:firstRow="0" w:lastRow="0" w:firstColumn="1" w:lastColumn="0" w:oddVBand="0" w:evenVBand="0" w:oddHBand="0" w:evenHBand="0" w:firstRowFirstColumn="0" w:firstRowLastColumn="0" w:lastRowFirstColumn="0" w:lastRowLastColumn="0"/>
            <w:tcW w:w="3114" w:type="dxa"/>
          </w:tcPr>
          <w:p w14:paraId="448261D6" w14:textId="77777777" w:rsidR="00BC65BD" w:rsidRPr="009A1D53" w:rsidRDefault="00BC65BD" w:rsidP="009A1D53">
            <w:pPr>
              <w:jc w:val="both"/>
              <w:rPr>
                <w:rFonts w:asciiTheme="minorHAnsi" w:hAnsiTheme="minorHAnsi" w:cstheme="minorHAnsi"/>
              </w:rPr>
            </w:pPr>
            <w:r w:rsidRPr="009A1D53">
              <w:rPr>
                <w:rFonts w:asciiTheme="minorHAnsi" w:hAnsiTheme="minorHAnsi" w:cstheme="minorHAnsi"/>
              </w:rPr>
              <w:t>Sede dell’attività</w:t>
            </w:r>
          </w:p>
        </w:tc>
        <w:tc>
          <w:tcPr>
            <w:tcW w:w="6946" w:type="dxa"/>
            <w:gridSpan w:val="2"/>
          </w:tcPr>
          <w:p w14:paraId="58F0250F" w14:textId="77777777" w:rsidR="00BC65BD" w:rsidRPr="009A1D53" w:rsidRDefault="00BC65BD" w:rsidP="009A1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1D53">
              <w:rPr>
                <w:rFonts w:asciiTheme="minorHAnsi" w:hAnsiTheme="minorHAnsi" w:cstheme="minorHAnsi"/>
              </w:rPr>
              <w:t xml:space="preserve">Centro Vaccinale/Ambulatorio </w:t>
            </w:r>
            <w:proofErr w:type="spellStart"/>
            <w:r w:rsidRPr="009A1D53">
              <w:rPr>
                <w:rFonts w:asciiTheme="minorHAnsi" w:hAnsiTheme="minorHAnsi" w:cstheme="minorHAnsi"/>
              </w:rPr>
              <w:t>CdC</w:t>
            </w:r>
            <w:proofErr w:type="spellEnd"/>
          </w:p>
        </w:tc>
      </w:tr>
      <w:tr w:rsidR="00BC65BD" w:rsidRPr="009A1D53" w14:paraId="7A51D8FF" w14:textId="77777777" w:rsidTr="00990CDF">
        <w:trPr>
          <w:jc w:val="center"/>
        </w:trPr>
        <w:tc>
          <w:tcPr>
            <w:cnfStyle w:val="001000000000" w:firstRow="0" w:lastRow="0" w:firstColumn="1" w:lastColumn="0" w:oddVBand="0" w:evenVBand="0" w:oddHBand="0" w:evenHBand="0" w:firstRowFirstColumn="0" w:firstRowLastColumn="0" w:lastRowFirstColumn="0" w:lastRowLastColumn="0"/>
            <w:tcW w:w="3114" w:type="dxa"/>
          </w:tcPr>
          <w:p w14:paraId="6997FA00" w14:textId="77777777" w:rsidR="00BC65BD" w:rsidRPr="009A1D53" w:rsidRDefault="00BC65BD" w:rsidP="009A1D53">
            <w:pPr>
              <w:jc w:val="both"/>
              <w:rPr>
                <w:rFonts w:asciiTheme="minorHAnsi" w:hAnsiTheme="minorHAnsi" w:cstheme="minorHAnsi"/>
              </w:rPr>
            </w:pPr>
            <w:r w:rsidRPr="009A1D53">
              <w:rPr>
                <w:rFonts w:asciiTheme="minorHAnsi" w:hAnsiTheme="minorHAnsi" w:cstheme="minorHAnsi"/>
              </w:rPr>
              <w:t>Agende ARVAX</w:t>
            </w:r>
          </w:p>
        </w:tc>
        <w:tc>
          <w:tcPr>
            <w:tcW w:w="6946" w:type="dxa"/>
            <w:gridSpan w:val="2"/>
          </w:tcPr>
          <w:p w14:paraId="065EB4FC" w14:textId="17D56949" w:rsidR="00BC65BD" w:rsidRPr="009A1D53" w:rsidRDefault="00BC65BD" w:rsidP="00B134C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1D53">
              <w:rPr>
                <w:rFonts w:asciiTheme="minorHAnsi" w:hAnsiTheme="minorHAnsi" w:cstheme="minorHAnsi"/>
              </w:rPr>
              <w:t>ASST/</w:t>
            </w:r>
            <w:r w:rsidR="00B134C6">
              <w:rPr>
                <w:rFonts w:asciiTheme="minorHAnsi" w:hAnsiTheme="minorHAnsi" w:cstheme="minorHAnsi"/>
              </w:rPr>
              <w:t>MAP</w:t>
            </w:r>
            <w:r w:rsidRPr="009A1D53">
              <w:rPr>
                <w:rFonts w:asciiTheme="minorHAnsi" w:hAnsiTheme="minorHAnsi" w:cstheme="minorHAnsi"/>
              </w:rPr>
              <w:t xml:space="preserve">    </w:t>
            </w:r>
          </w:p>
        </w:tc>
      </w:tr>
      <w:tr w:rsidR="00BC65BD" w:rsidRPr="009A1D53" w14:paraId="21CB9D1E" w14:textId="77777777" w:rsidTr="00990CDF">
        <w:trPr>
          <w:jc w:val="center"/>
        </w:trPr>
        <w:tc>
          <w:tcPr>
            <w:cnfStyle w:val="001000000000" w:firstRow="0" w:lastRow="0" w:firstColumn="1" w:lastColumn="0" w:oddVBand="0" w:evenVBand="0" w:oddHBand="0" w:evenHBand="0" w:firstRowFirstColumn="0" w:firstRowLastColumn="0" w:lastRowFirstColumn="0" w:lastRowLastColumn="0"/>
            <w:tcW w:w="4390" w:type="dxa"/>
            <w:gridSpan w:val="2"/>
          </w:tcPr>
          <w:p w14:paraId="30FEAA58" w14:textId="77777777" w:rsidR="00BC65BD" w:rsidRPr="009A1D53" w:rsidRDefault="00BC65BD" w:rsidP="009A1D53">
            <w:pPr>
              <w:jc w:val="both"/>
              <w:rPr>
                <w:rFonts w:asciiTheme="minorHAnsi" w:hAnsiTheme="minorHAnsi" w:cstheme="minorHAnsi"/>
              </w:rPr>
            </w:pPr>
            <w:r w:rsidRPr="009A1D53">
              <w:rPr>
                <w:rFonts w:asciiTheme="minorHAnsi" w:hAnsiTheme="minorHAnsi" w:cstheme="minorHAnsi"/>
              </w:rPr>
              <w:t>Gestione vaccini - Magazzino lotti e consegne</w:t>
            </w:r>
          </w:p>
        </w:tc>
        <w:tc>
          <w:tcPr>
            <w:tcW w:w="5670" w:type="dxa"/>
          </w:tcPr>
          <w:p w14:paraId="34D9C79D" w14:textId="77777777" w:rsidR="00BC65BD" w:rsidRPr="009A1D53" w:rsidRDefault="00BC65BD" w:rsidP="009A1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1D53">
              <w:rPr>
                <w:rFonts w:asciiTheme="minorHAnsi" w:hAnsiTheme="minorHAnsi" w:cstheme="minorHAnsi"/>
              </w:rPr>
              <w:t xml:space="preserve">ASST </w:t>
            </w:r>
          </w:p>
        </w:tc>
      </w:tr>
      <w:tr w:rsidR="00BC65BD" w:rsidRPr="009A1D53" w14:paraId="3D54DF08" w14:textId="77777777" w:rsidTr="00990CDF">
        <w:trPr>
          <w:jc w:val="center"/>
        </w:trPr>
        <w:tc>
          <w:tcPr>
            <w:cnfStyle w:val="001000000000" w:firstRow="0" w:lastRow="0" w:firstColumn="1" w:lastColumn="0" w:oddVBand="0" w:evenVBand="0" w:oddHBand="0" w:evenHBand="0" w:firstRowFirstColumn="0" w:firstRowLastColumn="0" w:lastRowFirstColumn="0" w:lastRowLastColumn="0"/>
            <w:tcW w:w="4390" w:type="dxa"/>
            <w:gridSpan w:val="2"/>
          </w:tcPr>
          <w:p w14:paraId="1B573B87" w14:textId="77777777" w:rsidR="00BC65BD" w:rsidRPr="009A1D53" w:rsidRDefault="00BC65BD" w:rsidP="009A1D53">
            <w:pPr>
              <w:tabs>
                <w:tab w:val="left" w:pos="0"/>
              </w:tabs>
              <w:ind w:right="-1"/>
              <w:contextualSpacing/>
              <w:rPr>
                <w:rFonts w:asciiTheme="minorHAnsi" w:hAnsiTheme="minorHAnsi" w:cstheme="minorHAnsi"/>
              </w:rPr>
            </w:pPr>
            <w:r w:rsidRPr="009A1D53">
              <w:rPr>
                <w:rFonts w:asciiTheme="minorHAnsi" w:hAnsiTheme="minorHAnsi" w:cstheme="minorHAnsi"/>
              </w:rPr>
              <w:lastRenderedPageBreak/>
              <w:t>Gestione vaccini – Stoccaggio</w:t>
            </w:r>
          </w:p>
        </w:tc>
        <w:tc>
          <w:tcPr>
            <w:tcW w:w="5670" w:type="dxa"/>
          </w:tcPr>
          <w:p w14:paraId="7C936349" w14:textId="77777777" w:rsidR="00BC65BD" w:rsidRPr="009A1D53" w:rsidRDefault="00BC65BD" w:rsidP="009A1D5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1D53">
              <w:rPr>
                <w:rFonts w:asciiTheme="minorHAnsi" w:hAnsiTheme="minorHAnsi" w:cstheme="minorHAnsi"/>
              </w:rPr>
              <w:t>ASST</w:t>
            </w:r>
          </w:p>
        </w:tc>
      </w:tr>
      <w:tr w:rsidR="00BC65BD" w:rsidRPr="009A1D53" w14:paraId="770B5CBB" w14:textId="77777777" w:rsidTr="00990CDF">
        <w:trPr>
          <w:jc w:val="center"/>
        </w:trPr>
        <w:tc>
          <w:tcPr>
            <w:cnfStyle w:val="001000000000" w:firstRow="0" w:lastRow="0" w:firstColumn="1" w:lastColumn="0" w:oddVBand="0" w:evenVBand="0" w:oddHBand="0" w:evenHBand="0" w:firstRowFirstColumn="0" w:firstRowLastColumn="0" w:lastRowFirstColumn="0" w:lastRowLastColumn="0"/>
            <w:tcW w:w="3114" w:type="dxa"/>
          </w:tcPr>
          <w:p w14:paraId="7BFD04F4" w14:textId="77777777" w:rsidR="00BC65BD" w:rsidRPr="009A1D53" w:rsidRDefault="00BC65BD" w:rsidP="009A1D53">
            <w:pPr>
              <w:jc w:val="both"/>
              <w:rPr>
                <w:rFonts w:asciiTheme="minorHAnsi" w:hAnsiTheme="minorHAnsi" w:cstheme="minorHAnsi"/>
              </w:rPr>
            </w:pPr>
            <w:r w:rsidRPr="009A1D53">
              <w:rPr>
                <w:rFonts w:asciiTheme="minorHAnsi" w:hAnsiTheme="minorHAnsi" w:cstheme="minorHAnsi"/>
              </w:rPr>
              <w:t>Consenso informato /Anamnesi</w:t>
            </w:r>
          </w:p>
        </w:tc>
        <w:tc>
          <w:tcPr>
            <w:tcW w:w="6946" w:type="dxa"/>
            <w:gridSpan w:val="2"/>
          </w:tcPr>
          <w:p w14:paraId="34B3F6AF" w14:textId="151D61A0" w:rsidR="00BC65BD" w:rsidRPr="009A1D53" w:rsidRDefault="00B134C6" w:rsidP="009A1D5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MAP</w:t>
            </w:r>
          </w:p>
        </w:tc>
      </w:tr>
      <w:tr w:rsidR="00BC65BD" w:rsidRPr="009A1D53" w14:paraId="7E1E8A72" w14:textId="77777777" w:rsidTr="00990CDF">
        <w:trPr>
          <w:jc w:val="center"/>
        </w:trPr>
        <w:tc>
          <w:tcPr>
            <w:cnfStyle w:val="001000000000" w:firstRow="0" w:lastRow="0" w:firstColumn="1" w:lastColumn="0" w:oddVBand="0" w:evenVBand="0" w:oddHBand="0" w:evenHBand="0" w:firstRowFirstColumn="0" w:firstRowLastColumn="0" w:lastRowFirstColumn="0" w:lastRowLastColumn="0"/>
            <w:tcW w:w="3114" w:type="dxa"/>
          </w:tcPr>
          <w:p w14:paraId="09F164E1" w14:textId="77777777" w:rsidR="00BC65BD" w:rsidRPr="009A1D53" w:rsidRDefault="00BC65BD" w:rsidP="009A1D53">
            <w:pPr>
              <w:jc w:val="both"/>
              <w:rPr>
                <w:rFonts w:asciiTheme="minorHAnsi" w:hAnsiTheme="minorHAnsi" w:cstheme="minorHAnsi"/>
              </w:rPr>
            </w:pPr>
            <w:r w:rsidRPr="009A1D53">
              <w:rPr>
                <w:rFonts w:asciiTheme="minorHAnsi" w:hAnsiTheme="minorHAnsi" w:cstheme="minorHAnsi"/>
              </w:rPr>
              <w:t>Svolgimento seduta vaccinale</w:t>
            </w:r>
          </w:p>
        </w:tc>
        <w:tc>
          <w:tcPr>
            <w:tcW w:w="6946" w:type="dxa"/>
            <w:gridSpan w:val="2"/>
          </w:tcPr>
          <w:p w14:paraId="0CB7B16E" w14:textId="0E0959A7" w:rsidR="00BC65BD" w:rsidRPr="009A1D53" w:rsidRDefault="00B134C6" w:rsidP="009A1D5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MAP</w:t>
            </w:r>
            <w:r w:rsidR="00BC65BD" w:rsidRPr="009A1D53">
              <w:rPr>
                <w:rFonts w:asciiTheme="minorHAnsi" w:hAnsiTheme="minorHAnsi" w:cstheme="minorHAnsi"/>
              </w:rPr>
              <w:t>/Personale infermieristico di ASST</w:t>
            </w:r>
          </w:p>
        </w:tc>
      </w:tr>
      <w:tr w:rsidR="00BC65BD" w:rsidRPr="009A1D53" w14:paraId="570E9FA6" w14:textId="77777777" w:rsidTr="00990CDF">
        <w:trPr>
          <w:jc w:val="center"/>
        </w:trPr>
        <w:tc>
          <w:tcPr>
            <w:cnfStyle w:val="001000000000" w:firstRow="0" w:lastRow="0" w:firstColumn="1" w:lastColumn="0" w:oddVBand="0" w:evenVBand="0" w:oddHBand="0" w:evenHBand="0" w:firstRowFirstColumn="0" w:firstRowLastColumn="0" w:lastRowFirstColumn="0" w:lastRowLastColumn="0"/>
            <w:tcW w:w="3114" w:type="dxa"/>
          </w:tcPr>
          <w:p w14:paraId="74B22E2C" w14:textId="77777777" w:rsidR="00BC65BD" w:rsidRPr="009A1D53" w:rsidRDefault="00BC65BD" w:rsidP="009A1D53">
            <w:pPr>
              <w:jc w:val="both"/>
              <w:rPr>
                <w:rFonts w:asciiTheme="minorHAnsi" w:hAnsiTheme="minorHAnsi" w:cstheme="minorHAnsi"/>
              </w:rPr>
            </w:pPr>
            <w:r w:rsidRPr="009A1D53">
              <w:rPr>
                <w:rFonts w:asciiTheme="minorHAnsi" w:hAnsiTheme="minorHAnsi" w:cstheme="minorHAnsi"/>
              </w:rPr>
              <w:t>Registrazione in portale ARVAX</w:t>
            </w:r>
          </w:p>
        </w:tc>
        <w:tc>
          <w:tcPr>
            <w:tcW w:w="6946" w:type="dxa"/>
            <w:gridSpan w:val="2"/>
          </w:tcPr>
          <w:p w14:paraId="72A24A70" w14:textId="66A7F681" w:rsidR="00BC65BD" w:rsidRPr="009A1D53" w:rsidRDefault="00B134C6" w:rsidP="009A1D5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MAP</w:t>
            </w:r>
            <w:r w:rsidR="00BC65BD" w:rsidRPr="009A1D53">
              <w:rPr>
                <w:rFonts w:asciiTheme="minorHAnsi" w:hAnsiTheme="minorHAnsi" w:cstheme="minorHAnsi"/>
              </w:rPr>
              <w:t>/Personale ASST, secondo modello organizzativo del CV</w:t>
            </w:r>
          </w:p>
        </w:tc>
      </w:tr>
    </w:tbl>
    <w:p w14:paraId="670F91F9" w14:textId="77777777" w:rsidR="00BC65BD" w:rsidRPr="009A1D53" w:rsidRDefault="00BC65BD" w:rsidP="009A1D53">
      <w:pPr>
        <w:pStyle w:val="Paragrafoelenco"/>
        <w:spacing w:after="0" w:line="240" w:lineRule="auto"/>
        <w:jc w:val="both"/>
        <w:rPr>
          <w:rFonts w:cstheme="minorHAnsi"/>
        </w:rPr>
      </w:pPr>
    </w:p>
    <w:p w14:paraId="5B5FE229" w14:textId="654C7778" w:rsidR="00BC65BD" w:rsidRPr="009A1D53" w:rsidRDefault="00BC65BD" w:rsidP="009A1D53">
      <w:pPr>
        <w:spacing w:after="0" w:line="240" w:lineRule="auto"/>
        <w:ind w:left="-426"/>
        <w:jc w:val="both"/>
        <w:rPr>
          <w:rFonts w:asciiTheme="minorHAnsi" w:hAnsiTheme="minorHAnsi" w:cstheme="minorHAnsi"/>
        </w:rPr>
      </w:pPr>
      <w:r w:rsidRPr="009A1D53">
        <w:rPr>
          <w:rFonts w:asciiTheme="minorHAnsi" w:hAnsiTheme="minorHAnsi" w:cstheme="minorHAnsi"/>
        </w:rPr>
        <w:t>La retribuzio</w:t>
      </w:r>
      <w:r w:rsidR="00B134C6">
        <w:rPr>
          <w:rFonts w:asciiTheme="minorHAnsi" w:hAnsiTheme="minorHAnsi" w:cstheme="minorHAnsi"/>
        </w:rPr>
        <w:t>ne per l’attività svolta dal MAP</w:t>
      </w:r>
      <w:r w:rsidRPr="009A1D53">
        <w:rPr>
          <w:rFonts w:asciiTheme="minorHAnsi" w:hAnsiTheme="minorHAnsi" w:cstheme="minorHAnsi"/>
        </w:rPr>
        <w:t xml:space="preserve"> e dal personale infermieristico/amministrativo di studio è riconosciuta come segue, nel caso di </w:t>
      </w:r>
      <w:r w:rsidRPr="009A1D53">
        <w:rPr>
          <w:rFonts w:asciiTheme="minorHAnsi" w:hAnsiTheme="minorHAnsi" w:cstheme="minorHAnsi"/>
          <w:b/>
        </w:rPr>
        <w:t xml:space="preserve">attività nell’ambito di campagne vaccinali: </w:t>
      </w:r>
    </w:p>
    <w:p w14:paraId="08741D88" w14:textId="77777777" w:rsidR="00BC65BD" w:rsidRPr="009A1D53" w:rsidRDefault="00BC65BD" w:rsidP="009A1D53">
      <w:pPr>
        <w:spacing w:after="0" w:line="240" w:lineRule="auto"/>
        <w:ind w:left="-426"/>
        <w:jc w:val="both"/>
        <w:rPr>
          <w:rFonts w:asciiTheme="minorHAnsi" w:hAnsiTheme="minorHAnsi" w:cstheme="minorHAnsi"/>
        </w:rPr>
      </w:pPr>
    </w:p>
    <w:p w14:paraId="699DADB1" w14:textId="77777777" w:rsidR="00BC65BD" w:rsidRPr="009A1D53" w:rsidRDefault="00BC65BD" w:rsidP="0067743C">
      <w:pPr>
        <w:pStyle w:val="Paragrafoelenco"/>
        <w:numPr>
          <w:ilvl w:val="0"/>
          <w:numId w:val="2"/>
        </w:numPr>
        <w:spacing w:after="0" w:line="240" w:lineRule="auto"/>
        <w:jc w:val="both"/>
        <w:rPr>
          <w:rFonts w:cstheme="minorHAnsi"/>
        </w:rPr>
      </w:pPr>
      <w:r w:rsidRPr="009A1D53">
        <w:rPr>
          <w:rFonts w:cstheme="minorHAnsi"/>
        </w:rPr>
        <w:t>Compenso per singolo inoculo: € 6,16</w:t>
      </w:r>
    </w:p>
    <w:p w14:paraId="611D3D7C" w14:textId="77777777" w:rsidR="00BC65BD" w:rsidRPr="009A1D53" w:rsidRDefault="00BC65BD" w:rsidP="0067743C">
      <w:pPr>
        <w:pStyle w:val="Paragrafoelenco"/>
        <w:numPr>
          <w:ilvl w:val="0"/>
          <w:numId w:val="2"/>
        </w:numPr>
        <w:spacing w:after="0" w:line="240" w:lineRule="auto"/>
        <w:jc w:val="both"/>
        <w:rPr>
          <w:rFonts w:cstheme="minorHAnsi"/>
        </w:rPr>
      </w:pPr>
      <w:r w:rsidRPr="009A1D53">
        <w:rPr>
          <w:rFonts w:cstheme="minorHAnsi"/>
        </w:rPr>
        <w:t xml:space="preserve">Compenso aggiuntivo per vaccinazione al domicilio: </w:t>
      </w:r>
      <w:r w:rsidRPr="009A1D53">
        <w:rPr>
          <w:rFonts w:eastAsia="Times New Roman" w:cstheme="minorHAnsi"/>
          <w:lang w:eastAsia="it-IT"/>
        </w:rPr>
        <w:t>€ 18,90</w:t>
      </w:r>
    </w:p>
    <w:p w14:paraId="39CCA440" w14:textId="59F33EAA" w:rsidR="00BC65BD" w:rsidRPr="009A1D53" w:rsidRDefault="00BC65BD" w:rsidP="0067743C">
      <w:pPr>
        <w:pStyle w:val="Paragrafoelenco"/>
        <w:numPr>
          <w:ilvl w:val="0"/>
          <w:numId w:val="2"/>
        </w:numPr>
        <w:spacing w:after="0" w:line="240" w:lineRule="auto"/>
        <w:jc w:val="both"/>
        <w:rPr>
          <w:rFonts w:cstheme="minorHAnsi"/>
        </w:rPr>
      </w:pPr>
      <w:r w:rsidRPr="009A1D53">
        <w:rPr>
          <w:rFonts w:cstheme="minorHAnsi"/>
        </w:rPr>
        <w:t xml:space="preserve">Riconoscimento per raggiungimento obiettivi di progetto </w:t>
      </w:r>
      <w:r w:rsidR="00B134C6">
        <w:rPr>
          <w:rFonts w:cstheme="minorHAnsi"/>
        </w:rPr>
        <w:t>pari a Euro 1.500,00</w:t>
      </w:r>
    </w:p>
    <w:p w14:paraId="7AC5FBCB" w14:textId="77777777" w:rsidR="00BC65BD" w:rsidRPr="009A1D53" w:rsidRDefault="00BC65BD" w:rsidP="009A1D53">
      <w:pPr>
        <w:spacing w:after="0" w:line="240" w:lineRule="auto"/>
        <w:ind w:left="-426"/>
        <w:jc w:val="both"/>
        <w:rPr>
          <w:rFonts w:asciiTheme="minorHAnsi" w:hAnsiTheme="minorHAnsi" w:cstheme="minorHAnsi"/>
        </w:rPr>
      </w:pPr>
    </w:p>
    <w:p w14:paraId="1859A511" w14:textId="47C7017D" w:rsidR="00BC65BD" w:rsidRPr="009A1D53" w:rsidRDefault="00BC65BD" w:rsidP="009A1D53">
      <w:pPr>
        <w:spacing w:after="0" w:line="240" w:lineRule="auto"/>
        <w:ind w:left="-426"/>
        <w:jc w:val="both"/>
        <w:rPr>
          <w:rFonts w:asciiTheme="minorHAnsi" w:hAnsiTheme="minorHAnsi" w:cstheme="minorHAnsi"/>
        </w:rPr>
      </w:pPr>
      <w:r w:rsidRPr="009A1D53">
        <w:rPr>
          <w:rFonts w:asciiTheme="minorHAnsi" w:hAnsiTheme="minorHAnsi" w:cstheme="minorHAnsi"/>
        </w:rPr>
        <w:t xml:space="preserve">La retribuzione per l’attività svolta dal </w:t>
      </w:r>
      <w:r w:rsidR="00B134C6">
        <w:rPr>
          <w:rFonts w:asciiTheme="minorHAnsi" w:hAnsiTheme="minorHAnsi" w:cstheme="minorHAnsi"/>
        </w:rPr>
        <w:t>MAP</w:t>
      </w:r>
      <w:r w:rsidRPr="009A1D53">
        <w:rPr>
          <w:rFonts w:asciiTheme="minorHAnsi" w:hAnsiTheme="minorHAnsi" w:cstheme="minorHAnsi"/>
        </w:rPr>
        <w:t xml:space="preserve"> e dal personale infermieristico/amministrativo di studio è riconosciuta come segue nel caso di </w:t>
      </w:r>
      <w:r w:rsidRPr="009A1D53">
        <w:rPr>
          <w:rFonts w:asciiTheme="minorHAnsi" w:hAnsiTheme="minorHAnsi" w:cstheme="minorHAnsi"/>
          <w:b/>
        </w:rPr>
        <w:t>attività vaccinale destagionalizzata</w:t>
      </w:r>
      <w:r w:rsidRPr="009A1D53">
        <w:rPr>
          <w:rFonts w:asciiTheme="minorHAnsi" w:hAnsiTheme="minorHAnsi" w:cstheme="minorHAnsi"/>
        </w:rPr>
        <w:t>:</w:t>
      </w:r>
    </w:p>
    <w:p w14:paraId="421E3CA4" w14:textId="77777777" w:rsidR="00BC65BD" w:rsidRPr="009A1D53" w:rsidRDefault="00BC65BD" w:rsidP="009A1D53">
      <w:pPr>
        <w:spacing w:after="0" w:line="240" w:lineRule="auto"/>
        <w:ind w:left="-426"/>
        <w:jc w:val="both"/>
        <w:rPr>
          <w:rFonts w:asciiTheme="minorHAnsi" w:hAnsiTheme="minorHAnsi" w:cstheme="minorHAnsi"/>
        </w:rPr>
      </w:pPr>
    </w:p>
    <w:p w14:paraId="1D0933A6" w14:textId="389103B5" w:rsidR="00BC65BD" w:rsidRPr="009A1D53" w:rsidRDefault="00BC65BD" w:rsidP="0067743C">
      <w:pPr>
        <w:pStyle w:val="Paragrafoelenco"/>
        <w:numPr>
          <w:ilvl w:val="0"/>
          <w:numId w:val="2"/>
        </w:numPr>
        <w:spacing w:after="0" w:line="240" w:lineRule="auto"/>
        <w:jc w:val="both"/>
        <w:rPr>
          <w:rFonts w:cstheme="minorHAnsi"/>
        </w:rPr>
      </w:pPr>
      <w:r w:rsidRPr="009A1D53">
        <w:rPr>
          <w:rFonts w:cstheme="minorHAnsi"/>
        </w:rPr>
        <w:t xml:space="preserve">Compenso per attività libero professionale </w:t>
      </w:r>
      <w:r w:rsidRPr="009A1D53">
        <w:rPr>
          <w:rFonts w:cstheme="minorHAnsi"/>
          <w:u w:val="single"/>
        </w:rPr>
        <w:t>su base oraria</w:t>
      </w:r>
      <w:r w:rsidR="00CD7D27" w:rsidRPr="009A1D53">
        <w:rPr>
          <w:rFonts w:cstheme="minorHAnsi"/>
        </w:rPr>
        <w:t xml:space="preserve"> (</w:t>
      </w:r>
      <w:r w:rsidR="00CD7D27" w:rsidRPr="00B134C6">
        <w:rPr>
          <w:rFonts w:cstheme="minorHAnsi"/>
          <w:b/>
        </w:rPr>
        <w:t>*</w:t>
      </w:r>
      <w:r w:rsidR="00B134C6" w:rsidRPr="00B134C6">
        <w:rPr>
          <w:rFonts w:cstheme="minorHAnsi"/>
          <w:b/>
        </w:rPr>
        <w:t>*</w:t>
      </w:r>
      <w:r w:rsidR="00CD7D27" w:rsidRPr="009A1D53">
        <w:rPr>
          <w:rFonts w:cstheme="minorHAnsi"/>
        </w:rPr>
        <w:t>): € 6</w:t>
      </w:r>
      <w:r w:rsidRPr="009A1D53">
        <w:rPr>
          <w:rFonts w:cstheme="minorHAnsi"/>
        </w:rPr>
        <w:t>0,00/ora</w:t>
      </w:r>
    </w:p>
    <w:p w14:paraId="050F3981" w14:textId="77777777" w:rsidR="00BC65BD" w:rsidRPr="009A1D53" w:rsidRDefault="00BC65BD" w:rsidP="0067743C">
      <w:pPr>
        <w:pStyle w:val="Paragrafoelenco"/>
        <w:numPr>
          <w:ilvl w:val="0"/>
          <w:numId w:val="2"/>
        </w:numPr>
        <w:spacing w:after="0" w:line="240" w:lineRule="auto"/>
        <w:jc w:val="both"/>
        <w:rPr>
          <w:rFonts w:cstheme="minorHAnsi"/>
        </w:rPr>
      </w:pPr>
      <w:r w:rsidRPr="009A1D53">
        <w:rPr>
          <w:rFonts w:cstheme="minorHAnsi"/>
        </w:rPr>
        <w:t xml:space="preserve">Compenso aggiuntivo per vaccinazione al domicilio: </w:t>
      </w:r>
      <w:r w:rsidRPr="009A1D53">
        <w:rPr>
          <w:rFonts w:eastAsia="Times New Roman" w:cstheme="minorHAnsi"/>
          <w:lang w:eastAsia="it-IT"/>
        </w:rPr>
        <w:t>€ 18,90</w:t>
      </w:r>
    </w:p>
    <w:p w14:paraId="341DC74E" w14:textId="77777777" w:rsidR="00BC65BD" w:rsidRPr="009A1D53" w:rsidRDefault="00BC65BD" w:rsidP="0067743C">
      <w:pPr>
        <w:pStyle w:val="Paragrafoelenco"/>
        <w:numPr>
          <w:ilvl w:val="0"/>
          <w:numId w:val="2"/>
        </w:numPr>
        <w:spacing w:after="0" w:line="240" w:lineRule="auto"/>
        <w:jc w:val="both"/>
        <w:rPr>
          <w:rFonts w:cstheme="minorHAnsi"/>
        </w:rPr>
      </w:pPr>
      <w:r w:rsidRPr="009A1D53">
        <w:rPr>
          <w:rFonts w:cstheme="minorHAnsi"/>
        </w:rPr>
        <w:t xml:space="preserve">Riconoscimento per raggiungimento obiettivi di progetto </w:t>
      </w:r>
    </w:p>
    <w:p w14:paraId="7573D313" w14:textId="2E4814CA" w:rsidR="00BC65BD" w:rsidRPr="009A1D53" w:rsidRDefault="00BC65BD" w:rsidP="009A1D53">
      <w:pPr>
        <w:spacing w:after="0" w:line="240" w:lineRule="auto"/>
        <w:ind w:left="360"/>
        <w:jc w:val="both"/>
        <w:rPr>
          <w:rStyle w:val="normaltextrun"/>
          <w:rFonts w:asciiTheme="minorHAnsi" w:hAnsiTheme="minorHAnsi" w:cstheme="minorHAnsi"/>
          <w:i/>
        </w:rPr>
      </w:pPr>
      <w:r w:rsidRPr="009A1D53">
        <w:rPr>
          <w:rFonts w:asciiTheme="minorHAnsi" w:hAnsiTheme="minorHAnsi" w:cstheme="minorHAnsi"/>
          <w:bCs/>
          <w:color w:val="000000" w:themeColor="text1"/>
        </w:rPr>
        <w:t>(</w:t>
      </w:r>
      <w:r w:rsidRPr="00B134C6">
        <w:rPr>
          <w:rFonts w:asciiTheme="minorHAnsi" w:hAnsiTheme="minorHAnsi" w:cstheme="minorHAnsi"/>
          <w:b/>
          <w:bCs/>
          <w:color w:val="000000" w:themeColor="text1"/>
        </w:rPr>
        <w:t>*</w:t>
      </w:r>
      <w:r w:rsidR="00B134C6" w:rsidRPr="00B134C6">
        <w:rPr>
          <w:rFonts w:asciiTheme="minorHAnsi" w:hAnsiTheme="minorHAnsi" w:cstheme="minorHAnsi"/>
          <w:b/>
          <w:bCs/>
          <w:color w:val="000000" w:themeColor="text1"/>
        </w:rPr>
        <w:t>*</w:t>
      </w:r>
      <w:r w:rsidRPr="009A1D53">
        <w:rPr>
          <w:rFonts w:asciiTheme="minorHAnsi" w:hAnsiTheme="minorHAnsi" w:cstheme="minorHAnsi"/>
          <w:bCs/>
          <w:color w:val="000000" w:themeColor="text1"/>
        </w:rPr>
        <w:t xml:space="preserve">) </w:t>
      </w:r>
      <w:r w:rsidRPr="009A1D53">
        <w:rPr>
          <w:rFonts w:asciiTheme="minorHAnsi" w:hAnsiTheme="minorHAnsi" w:cstheme="minorHAnsi"/>
          <w:bCs/>
          <w:i/>
          <w:color w:val="000000" w:themeColor="text1"/>
        </w:rPr>
        <w:t xml:space="preserve">Il medico con attività a ciclo di scelta non può svolgere in libera professione attività già previste dal presente Accordo e dagli accordi decentrati in favore dei propri assistiti. Fanno eccezione, a titolo esemplificativo, alcune prestazioni tra cui … </w:t>
      </w:r>
      <w:r w:rsidRPr="009A1D53">
        <w:rPr>
          <w:rFonts w:asciiTheme="minorHAnsi" w:hAnsiTheme="minorHAnsi" w:cstheme="minorHAnsi"/>
          <w:bCs/>
          <w:i/>
          <w:color w:val="000000" w:themeColor="text1"/>
          <w:u w:val="single"/>
        </w:rPr>
        <w:t>specifiche attività definite dall’Azienda anche con soggetti terzi, in forma organizzata e continuativa, al di fuori degli orari di attività convenziona</w:t>
      </w:r>
      <w:r w:rsidRPr="009A1D53">
        <w:rPr>
          <w:rFonts w:asciiTheme="minorHAnsi" w:hAnsiTheme="minorHAnsi" w:cstheme="minorHAnsi"/>
          <w:i/>
          <w:u w:val="single"/>
        </w:rPr>
        <w:t>le, nell’ambito degli Accordi Attuativi Aziendali</w:t>
      </w:r>
      <w:r w:rsidRPr="009A1D53">
        <w:rPr>
          <w:rFonts w:asciiTheme="minorHAnsi" w:hAnsiTheme="minorHAnsi" w:cstheme="minorHAnsi"/>
          <w:i/>
        </w:rPr>
        <w:t>.</w:t>
      </w:r>
    </w:p>
    <w:p w14:paraId="15FBE1CD" w14:textId="77777777" w:rsidR="005945E7" w:rsidRPr="009A1D53" w:rsidRDefault="005945E7" w:rsidP="009A1D53">
      <w:pPr>
        <w:spacing w:after="0" w:line="240" w:lineRule="auto"/>
        <w:ind w:hanging="426"/>
        <w:jc w:val="right"/>
        <w:rPr>
          <w:rFonts w:asciiTheme="minorHAnsi" w:hAnsiTheme="minorHAnsi" w:cstheme="minorHAnsi"/>
          <w:b/>
        </w:rPr>
      </w:pPr>
    </w:p>
    <w:p w14:paraId="05322780" w14:textId="77777777" w:rsidR="005945E7" w:rsidRPr="009A1D53" w:rsidRDefault="005945E7" w:rsidP="009A1D53">
      <w:pPr>
        <w:spacing w:after="0" w:line="240" w:lineRule="auto"/>
        <w:ind w:hanging="426"/>
        <w:jc w:val="right"/>
        <w:rPr>
          <w:rFonts w:asciiTheme="minorHAnsi" w:hAnsiTheme="minorHAnsi" w:cstheme="minorHAnsi"/>
          <w:b/>
        </w:rPr>
      </w:pPr>
    </w:p>
    <w:p w14:paraId="37C8AB60" w14:textId="77777777" w:rsidR="00874BF9" w:rsidRPr="009A1D53" w:rsidRDefault="00874BF9" w:rsidP="009A1D53">
      <w:pPr>
        <w:spacing w:after="0" w:line="240" w:lineRule="auto"/>
        <w:ind w:hanging="426"/>
        <w:jc w:val="right"/>
        <w:rPr>
          <w:rFonts w:asciiTheme="minorHAnsi" w:hAnsiTheme="minorHAnsi" w:cstheme="minorHAnsi"/>
          <w:b/>
        </w:rPr>
      </w:pPr>
    </w:p>
    <w:p w14:paraId="28635B1E" w14:textId="77777777" w:rsidR="00874BF9" w:rsidRPr="009A1D53" w:rsidRDefault="00874BF9" w:rsidP="009A1D53">
      <w:pPr>
        <w:spacing w:after="0" w:line="240" w:lineRule="auto"/>
        <w:ind w:hanging="426"/>
        <w:jc w:val="right"/>
        <w:rPr>
          <w:rFonts w:asciiTheme="minorHAnsi" w:hAnsiTheme="minorHAnsi" w:cstheme="minorHAnsi"/>
          <w:b/>
        </w:rPr>
      </w:pPr>
    </w:p>
    <w:p w14:paraId="06AB4E31" w14:textId="77777777" w:rsidR="00874BF9" w:rsidRPr="009A1D53" w:rsidRDefault="00874BF9" w:rsidP="009A1D53">
      <w:pPr>
        <w:spacing w:after="0" w:line="240" w:lineRule="auto"/>
        <w:ind w:hanging="426"/>
        <w:jc w:val="right"/>
        <w:rPr>
          <w:rFonts w:asciiTheme="minorHAnsi" w:hAnsiTheme="minorHAnsi" w:cstheme="minorHAnsi"/>
          <w:b/>
        </w:rPr>
      </w:pPr>
    </w:p>
    <w:p w14:paraId="74E35B6E" w14:textId="77777777" w:rsidR="00874BF9" w:rsidRPr="009A1D53" w:rsidRDefault="00874BF9" w:rsidP="009A1D53">
      <w:pPr>
        <w:spacing w:after="0" w:line="240" w:lineRule="auto"/>
        <w:ind w:hanging="426"/>
        <w:jc w:val="right"/>
        <w:rPr>
          <w:rFonts w:asciiTheme="minorHAnsi" w:hAnsiTheme="minorHAnsi" w:cstheme="minorHAnsi"/>
          <w:b/>
        </w:rPr>
      </w:pPr>
    </w:p>
    <w:p w14:paraId="51377C8D" w14:textId="77777777" w:rsidR="00874BF9" w:rsidRPr="009A1D53" w:rsidRDefault="00874BF9" w:rsidP="009A1D53">
      <w:pPr>
        <w:spacing w:after="0" w:line="240" w:lineRule="auto"/>
        <w:ind w:hanging="426"/>
        <w:jc w:val="right"/>
        <w:rPr>
          <w:rFonts w:asciiTheme="minorHAnsi" w:hAnsiTheme="minorHAnsi" w:cstheme="minorHAnsi"/>
          <w:b/>
        </w:rPr>
      </w:pPr>
    </w:p>
    <w:p w14:paraId="58B21526" w14:textId="77777777" w:rsidR="00874BF9" w:rsidRPr="009A1D53" w:rsidRDefault="00874BF9" w:rsidP="009A1D53">
      <w:pPr>
        <w:spacing w:after="0" w:line="240" w:lineRule="auto"/>
        <w:ind w:hanging="426"/>
        <w:jc w:val="right"/>
        <w:rPr>
          <w:rFonts w:asciiTheme="minorHAnsi" w:hAnsiTheme="minorHAnsi" w:cstheme="minorHAnsi"/>
          <w:b/>
        </w:rPr>
      </w:pPr>
    </w:p>
    <w:p w14:paraId="42E22A2C" w14:textId="77777777" w:rsidR="00874BF9" w:rsidRPr="009A1D53" w:rsidRDefault="00874BF9" w:rsidP="009A1D53">
      <w:pPr>
        <w:spacing w:after="0" w:line="240" w:lineRule="auto"/>
        <w:ind w:hanging="426"/>
        <w:jc w:val="right"/>
        <w:rPr>
          <w:rFonts w:asciiTheme="minorHAnsi" w:hAnsiTheme="minorHAnsi" w:cstheme="minorHAnsi"/>
          <w:b/>
        </w:rPr>
      </w:pPr>
    </w:p>
    <w:p w14:paraId="7978ABE1" w14:textId="77777777" w:rsidR="00874BF9" w:rsidRPr="009A1D53" w:rsidRDefault="00874BF9" w:rsidP="009A1D53">
      <w:pPr>
        <w:spacing w:after="0" w:line="240" w:lineRule="auto"/>
        <w:ind w:hanging="426"/>
        <w:jc w:val="right"/>
        <w:rPr>
          <w:rFonts w:asciiTheme="minorHAnsi" w:hAnsiTheme="minorHAnsi" w:cstheme="minorHAnsi"/>
          <w:b/>
        </w:rPr>
      </w:pPr>
    </w:p>
    <w:p w14:paraId="2566C509" w14:textId="77777777" w:rsidR="00874BF9" w:rsidRPr="009A1D53" w:rsidRDefault="00874BF9" w:rsidP="009A1D53">
      <w:pPr>
        <w:spacing w:after="0" w:line="240" w:lineRule="auto"/>
        <w:ind w:hanging="426"/>
        <w:jc w:val="right"/>
        <w:rPr>
          <w:rFonts w:asciiTheme="minorHAnsi" w:hAnsiTheme="minorHAnsi" w:cstheme="minorHAnsi"/>
          <w:b/>
        </w:rPr>
      </w:pPr>
    </w:p>
    <w:p w14:paraId="72A1AC21" w14:textId="77777777" w:rsidR="00874BF9" w:rsidRPr="009A1D53" w:rsidRDefault="00874BF9" w:rsidP="009A1D53">
      <w:pPr>
        <w:spacing w:after="0" w:line="240" w:lineRule="auto"/>
        <w:ind w:hanging="426"/>
        <w:jc w:val="right"/>
        <w:rPr>
          <w:rFonts w:asciiTheme="minorHAnsi" w:hAnsiTheme="minorHAnsi" w:cstheme="minorHAnsi"/>
          <w:b/>
        </w:rPr>
      </w:pPr>
    </w:p>
    <w:p w14:paraId="3F55613A" w14:textId="77777777" w:rsidR="00874BF9" w:rsidRPr="009A1D53" w:rsidRDefault="00874BF9" w:rsidP="009A1D53">
      <w:pPr>
        <w:spacing w:after="0" w:line="240" w:lineRule="auto"/>
        <w:ind w:hanging="426"/>
        <w:jc w:val="right"/>
        <w:rPr>
          <w:rFonts w:asciiTheme="minorHAnsi" w:hAnsiTheme="minorHAnsi" w:cstheme="minorHAnsi"/>
          <w:b/>
        </w:rPr>
      </w:pPr>
    </w:p>
    <w:p w14:paraId="497FD5FF" w14:textId="77777777" w:rsidR="00874BF9" w:rsidRPr="009A1D53" w:rsidRDefault="00874BF9" w:rsidP="009A1D53">
      <w:pPr>
        <w:spacing w:after="0" w:line="240" w:lineRule="auto"/>
        <w:ind w:hanging="426"/>
        <w:jc w:val="right"/>
        <w:rPr>
          <w:rFonts w:asciiTheme="minorHAnsi" w:hAnsiTheme="minorHAnsi" w:cstheme="minorHAnsi"/>
          <w:b/>
        </w:rPr>
      </w:pPr>
    </w:p>
    <w:p w14:paraId="48416F01" w14:textId="77777777" w:rsidR="00874BF9" w:rsidRPr="009A1D53" w:rsidRDefault="00874BF9" w:rsidP="009A1D53">
      <w:pPr>
        <w:spacing w:after="0" w:line="240" w:lineRule="auto"/>
        <w:ind w:hanging="426"/>
        <w:jc w:val="right"/>
        <w:rPr>
          <w:rFonts w:asciiTheme="minorHAnsi" w:hAnsiTheme="minorHAnsi" w:cstheme="minorHAnsi"/>
          <w:b/>
        </w:rPr>
      </w:pPr>
    </w:p>
    <w:p w14:paraId="669DBD80" w14:textId="746DEA76" w:rsidR="00BC65BD" w:rsidRPr="009A1D53" w:rsidRDefault="00874BF9" w:rsidP="009A1D53">
      <w:pPr>
        <w:spacing w:after="0" w:line="240" w:lineRule="auto"/>
        <w:ind w:hanging="426"/>
        <w:jc w:val="right"/>
        <w:rPr>
          <w:rFonts w:asciiTheme="minorHAnsi" w:hAnsiTheme="minorHAnsi" w:cstheme="minorHAnsi"/>
          <w:b/>
        </w:rPr>
      </w:pPr>
      <w:r w:rsidRPr="009A1D53">
        <w:rPr>
          <w:rFonts w:asciiTheme="minorHAnsi" w:hAnsiTheme="minorHAnsi" w:cstheme="minorHAnsi"/>
          <w:b/>
        </w:rPr>
        <w:t>ALLEGATO 2</w:t>
      </w:r>
    </w:p>
    <w:p w14:paraId="4C7BCEB6" w14:textId="77777777" w:rsidR="00BC65BD" w:rsidRPr="009A1D53" w:rsidRDefault="00BC65BD" w:rsidP="009A1D53">
      <w:pPr>
        <w:pStyle w:val="paragraph"/>
        <w:spacing w:beforeAutospacing="0" w:after="0" w:afterAutospacing="0"/>
        <w:jc w:val="center"/>
        <w:textAlignment w:val="baseline"/>
        <w:rPr>
          <w:rFonts w:asciiTheme="minorHAnsi" w:eastAsiaTheme="minorHAnsi" w:hAnsiTheme="minorHAnsi" w:cstheme="minorHAnsi"/>
          <w:b/>
          <w:caps/>
          <w:sz w:val="22"/>
          <w:szCs w:val="22"/>
          <w:lang w:eastAsia="en-US"/>
        </w:rPr>
      </w:pPr>
      <w:r w:rsidRPr="009A1D53">
        <w:rPr>
          <w:rFonts w:asciiTheme="minorHAnsi" w:eastAsiaTheme="minorHAnsi" w:hAnsiTheme="minorHAnsi" w:cstheme="minorHAnsi"/>
          <w:b/>
          <w:caps/>
          <w:sz w:val="22"/>
          <w:szCs w:val="22"/>
          <w:lang w:eastAsia="en-US"/>
        </w:rPr>
        <w:t>Piano strategico-operativo nazionale di preparazione e risposta a una pandemia influenzale (</w:t>
      </w:r>
      <w:proofErr w:type="spellStart"/>
      <w:r w:rsidRPr="009A1D53">
        <w:rPr>
          <w:rFonts w:asciiTheme="minorHAnsi" w:eastAsiaTheme="minorHAnsi" w:hAnsiTheme="minorHAnsi" w:cstheme="minorHAnsi"/>
          <w:b/>
          <w:sz w:val="22"/>
          <w:szCs w:val="22"/>
          <w:lang w:eastAsia="en-US"/>
        </w:rPr>
        <w:t>PanFlu</w:t>
      </w:r>
      <w:proofErr w:type="spellEnd"/>
      <w:r w:rsidRPr="009A1D53">
        <w:rPr>
          <w:rFonts w:asciiTheme="minorHAnsi" w:eastAsiaTheme="minorHAnsi" w:hAnsiTheme="minorHAnsi" w:cstheme="minorHAnsi"/>
          <w:b/>
          <w:caps/>
          <w:sz w:val="22"/>
          <w:szCs w:val="22"/>
          <w:lang w:eastAsia="en-US"/>
        </w:rPr>
        <w:t>)</w:t>
      </w:r>
    </w:p>
    <w:p w14:paraId="44B5F595" w14:textId="0853232C" w:rsidR="00BC65BD" w:rsidRDefault="00BC65BD" w:rsidP="009A1D53">
      <w:pPr>
        <w:pStyle w:val="paragraph"/>
        <w:jc w:val="both"/>
        <w:textAlignment w:val="baseline"/>
        <w:rPr>
          <w:rFonts w:asciiTheme="minorHAnsi" w:eastAsiaTheme="minorHAnsi" w:hAnsiTheme="minorHAnsi" w:cstheme="minorHAnsi"/>
          <w:sz w:val="22"/>
          <w:szCs w:val="22"/>
          <w:lang w:eastAsia="en-US"/>
        </w:rPr>
      </w:pPr>
      <w:r w:rsidRPr="009A1D53">
        <w:rPr>
          <w:rFonts w:asciiTheme="minorHAnsi" w:eastAsiaTheme="minorHAnsi" w:hAnsiTheme="minorHAnsi" w:cstheme="minorHAnsi"/>
          <w:sz w:val="22"/>
          <w:szCs w:val="22"/>
          <w:lang w:eastAsia="en-US"/>
        </w:rPr>
        <w:t xml:space="preserve">Nel periodo dell’anno maggiormente soggetto alla diffusione delle sindromi respiratorie su base virale (novembre – dicembre – gennaio) prevedere l’attivazione di </w:t>
      </w:r>
      <w:proofErr w:type="spellStart"/>
      <w:r w:rsidRPr="009A1D53">
        <w:rPr>
          <w:rFonts w:asciiTheme="minorHAnsi" w:eastAsiaTheme="minorHAnsi" w:hAnsiTheme="minorHAnsi" w:cstheme="minorHAnsi"/>
          <w:sz w:val="22"/>
          <w:szCs w:val="22"/>
          <w:lang w:eastAsia="en-US"/>
        </w:rPr>
        <w:t>hotspot</w:t>
      </w:r>
      <w:proofErr w:type="spellEnd"/>
      <w:r w:rsidRPr="009A1D53">
        <w:rPr>
          <w:rFonts w:asciiTheme="minorHAnsi" w:eastAsiaTheme="minorHAnsi" w:hAnsiTheme="minorHAnsi" w:cstheme="minorHAnsi"/>
          <w:sz w:val="22"/>
          <w:szCs w:val="22"/>
          <w:lang w:eastAsia="en-US"/>
        </w:rPr>
        <w:t xml:space="preserve"> dedicati (in ogni ASST) con apertura 7/7 </w:t>
      </w:r>
      <w:r w:rsidR="009F1F3B">
        <w:rPr>
          <w:rFonts w:asciiTheme="minorHAnsi" w:eastAsiaTheme="minorHAnsi" w:hAnsiTheme="minorHAnsi" w:cstheme="minorHAnsi"/>
          <w:sz w:val="22"/>
          <w:szCs w:val="22"/>
          <w:lang w:eastAsia="en-US"/>
        </w:rPr>
        <w:t xml:space="preserve">preferibilmente </w:t>
      </w:r>
      <w:r w:rsidRPr="009A1D53">
        <w:rPr>
          <w:rFonts w:asciiTheme="minorHAnsi" w:eastAsiaTheme="minorHAnsi" w:hAnsiTheme="minorHAnsi" w:cstheme="minorHAnsi"/>
          <w:sz w:val="22"/>
          <w:szCs w:val="22"/>
          <w:lang w:eastAsia="en-US"/>
        </w:rPr>
        <w:t xml:space="preserve">dalle ore 20:00 alle ore 24:00 </w:t>
      </w:r>
      <w:r w:rsidR="009F1F3B">
        <w:rPr>
          <w:rFonts w:asciiTheme="minorHAnsi" w:eastAsiaTheme="minorHAnsi" w:hAnsiTheme="minorHAnsi" w:cstheme="minorHAnsi"/>
          <w:sz w:val="22"/>
          <w:szCs w:val="22"/>
          <w:lang w:eastAsia="en-US"/>
        </w:rPr>
        <w:t xml:space="preserve">dal lunedì al venerdì e in fascia oraria diurna il sabato, la domenica e i festivi </w:t>
      </w:r>
      <w:r w:rsidRPr="009A1D53">
        <w:rPr>
          <w:rFonts w:asciiTheme="minorHAnsi" w:eastAsiaTheme="minorHAnsi" w:hAnsiTheme="minorHAnsi" w:cstheme="minorHAnsi"/>
          <w:sz w:val="22"/>
          <w:szCs w:val="22"/>
          <w:lang w:eastAsia="en-US"/>
        </w:rPr>
        <w:t xml:space="preserve">in cui operano </w:t>
      </w:r>
      <w:r w:rsidR="009F1F3B">
        <w:rPr>
          <w:rFonts w:asciiTheme="minorHAnsi" w:eastAsiaTheme="minorHAnsi" w:hAnsiTheme="minorHAnsi" w:cstheme="minorHAnsi"/>
          <w:sz w:val="22"/>
          <w:szCs w:val="22"/>
          <w:lang w:eastAsia="en-US"/>
        </w:rPr>
        <w:t>MAP, possibilmente affiancati da figure infermieristiche.</w:t>
      </w:r>
    </w:p>
    <w:p w14:paraId="3166A486" w14:textId="580FC3DF" w:rsidR="009F1F3B" w:rsidRDefault="009F1F3B" w:rsidP="009F1F3B">
      <w:pPr>
        <w:pStyle w:val="paragraph"/>
        <w:spacing w:beforeAutospacing="0" w:after="0" w:afterAutospacing="0"/>
        <w:jc w:val="both"/>
        <w:textAlignment w:val="baseline"/>
        <w:rPr>
          <w:rFonts w:asciiTheme="minorHAnsi" w:hAnsiTheme="minorHAnsi" w:cstheme="minorHAnsi"/>
          <w:sz w:val="22"/>
          <w:szCs w:val="22"/>
        </w:rPr>
      </w:pPr>
      <w:r>
        <w:rPr>
          <w:rFonts w:asciiTheme="minorHAnsi" w:eastAsiaTheme="minorHAnsi" w:hAnsiTheme="minorHAnsi" w:cstheme="minorHAnsi"/>
          <w:sz w:val="22"/>
          <w:szCs w:val="22"/>
          <w:lang w:eastAsia="en-US"/>
        </w:rPr>
        <w:t xml:space="preserve">Negli </w:t>
      </w:r>
      <w:proofErr w:type="spellStart"/>
      <w:r>
        <w:rPr>
          <w:rFonts w:asciiTheme="minorHAnsi" w:eastAsiaTheme="minorHAnsi" w:hAnsiTheme="minorHAnsi" w:cstheme="minorHAnsi"/>
          <w:sz w:val="22"/>
          <w:szCs w:val="22"/>
          <w:lang w:eastAsia="en-US"/>
        </w:rPr>
        <w:t>hotspot</w:t>
      </w:r>
      <w:proofErr w:type="spellEnd"/>
      <w:r>
        <w:rPr>
          <w:rFonts w:asciiTheme="minorHAnsi" w:eastAsiaTheme="minorHAnsi" w:hAnsiTheme="minorHAnsi" w:cstheme="minorHAnsi"/>
          <w:sz w:val="22"/>
          <w:szCs w:val="22"/>
          <w:lang w:eastAsia="en-US"/>
        </w:rPr>
        <w:t xml:space="preserve">, allestiti nelle </w:t>
      </w:r>
      <w:proofErr w:type="spellStart"/>
      <w:r>
        <w:rPr>
          <w:rFonts w:asciiTheme="minorHAnsi" w:eastAsiaTheme="minorHAnsi" w:hAnsiTheme="minorHAnsi" w:cstheme="minorHAnsi"/>
          <w:sz w:val="22"/>
          <w:szCs w:val="22"/>
          <w:lang w:eastAsia="en-US"/>
        </w:rPr>
        <w:t>CdC</w:t>
      </w:r>
      <w:proofErr w:type="spellEnd"/>
      <w:r>
        <w:rPr>
          <w:rFonts w:asciiTheme="minorHAnsi" w:eastAsiaTheme="minorHAnsi" w:hAnsiTheme="minorHAnsi" w:cstheme="minorHAnsi"/>
          <w:sz w:val="22"/>
          <w:szCs w:val="22"/>
          <w:lang w:eastAsia="en-US"/>
        </w:rPr>
        <w:t xml:space="preserve"> delle ASST, il MAP ha a disposizione ecografi per l’effettuazione di ECO-FAST polmonare e </w:t>
      </w:r>
      <w:r>
        <w:rPr>
          <w:rFonts w:asciiTheme="minorHAnsi" w:hAnsiTheme="minorHAnsi" w:cstheme="minorHAnsi"/>
          <w:sz w:val="22"/>
          <w:szCs w:val="22"/>
        </w:rPr>
        <w:t>TNF antigenici rapidi per la diagnosi eziologica delle seguenti infezioni virali:</w:t>
      </w:r>
    </w:p>
    <w:p w14:paraId="49C27003" w14:textId="77777777" w:rsidR="009F1F3B" w:rsidRDefault="009F1F3B" w:rsidP="0067743C">
      <w:pPr>
        <w:pStyle w:val="paragraph"/>
        <w:numPr>
          <w:ilvl w:val="0"/>
          <w:numId w:val="12"/>
        </w:numPr>
        <w:spacing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SARS-CoV-2</w:t>
      </w:r>
    </w:p>
    <w:p w14:paraId="434FF9EF" w14:textId="77777777" w:rsidR="009F1F3B" w:rsidRDefault="009F1F3B" w:rsidP="0067743C">
      <w:pPr>
        <w:pStyle w:val="paragraph"/>
        <w:numPr>
          <w:ilvl w:val="0"/>
          <w:numId w:val="12"/>
        </w:numPr>
        <w:spacing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INFLUENZA A</w:t>
      </w:r>
    </w:p>
    <w:p w14:paraId="6E340D4E" w14:textId="77777777" w:rsidR="009F1F3B" w:rsidRDefault="009F1F3B" w:rsidP="0067743C">
      <w:pPr>
        <w:pStyle w:val="paragraph"/>
        <w:numPr>
          <w:ilvl w:val="0"/>
          <w:numId w:val="12"/>
        </w:numPr>
        <w:spacing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INFLUENZA B</w:t>
      </w:r>
    </w:p>
    <w:p w14:paraId="514CBF49" w14:textId="5FE1B734" w:rsidR="009F1F3B" w:rsidRDefault="009F1F3B" w:rsidP="0067743C">
      <w:pPr>
        <w:pStyle w:val="paragraph"/>
        <w:numPr>
          <w:ilvl w:val="0"/>
          <w:numId w:val="12"/>
        </w:numPr>
        <w:spacing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ADENOVIRUS</w:t>
      </w:r>
    </w:p>
    <w:p w14:paraId="086FBB86" w14:textId="77777777" w:rsidR="0011507E" w:rsidRDefault="00BC65BD" w:rsidP="009A1D53">
      <w:pPr>
        <w:pStyle w:val="paragraph"/>
        <w:jc w:val="both"/>
        <w:textAlignment w:val="baseline"/>
        <w:rPr>
          <w:rFonts w:asciiTheme="minorHAnsi" w:eastAsiaTheme="minorHAnsi" w:hAnsiTheme="minorHAnsi" w:cstheme="minorHAnsi"/>
          <w:sz w:val="22"/>
          <w:szCs w:val="22"/>
          <w:lang w:eastAsia="en-US"/>
        </w:rPr>
      </w:pPr>
      <w:r w:rsidRPr="009A1D53">
        <w:rPr>
          <w:rFonts w:asciiTheme="minorHAnsi" w:eastAsiaTheme="minorHAnsi" w:hAnsiTheme="minorHAnsi" w:cstheme="minorHAnsi"/>
          <w:sz w:val="22"/>
          <w:szCs w:val="22"/>
          <w:lang w:eastAsia="en-US"/>
        </w:rPr>
        <w:t>L’</w:t>
      </w:r>
      <w:proofErr w:type="spellStart"/>
      <w:r w:rsidRPr="009A1D53">
        <w:rPr>
          <w:rFonts w:asciiTheme="minorHAnsi" w:eastAsiaTheme="minorHAnsi" w:hAnsiTheme="minorHAnsi" w:cstheme="minorHAnsi"/>
          <w:sz w:val="22"/>
          <w:szCs w:val="22"/>
          <w:lang w:eastAsia="en-US"/>
        </w:rPr>
        <w:t>hotspot</w:t>
      </w:r>
      <w:proofErr w:type="spellEnd"/>
      <w:r w:rsidRPr="009A1D53">
        <w:rPr>
          <w:rFonts w:asciiTheme="minorHAnsi" w:eastAsiaTheme="minorHAnsi" w:hAnsiTheme="minorHAnsi" w:cstheme="minorHAnsi"/>
          <w:sz w:val="22"/>
          <w:szCs w:val="22"/>
          <w:lang w:eastAsia="en-US"/>
        </w:rPr>
        <w:t xml:space="preserve"> viene avviato a valle di formazione specifica regionale (breve FAD) unitamente a sistema di </w:t>
      </w:r>
      <w:proofErr w:type="spellStart"/>
      <w:r w:rsidRPr="009A1D53">
        <w:rPr>
          <w:rFonts w:asciiTheme="minorHAnsi" w:eastAsiaTheme="minorHAnsi" w:hAnsiTheme="minorHAnsi" w:cstheme="minorHAnsi"/>
          <w:sz w:val="22"/>
          <w:szCs w:val="22"/>
          <w:lang w:eastAsia="en-US"/>
        </w:rPr>
        <w:t>consultabilità</w:t>
      </w:r>
      <w:proofErr w:type="spellEnd"/>
      <w:r w:rsidRPr="009A1D53">
        <w:rPr>
          <w:rFonts w:asciiTheme="minorHAnsi" w:eastAsiaTheme="minorHAnsi" w:hAnsiTheme="minorHAnsi" w:cstheme="minorHAnsi"/>
          <w:sz w:val="22"/>
          <w:szCs w:val="22"/>
          <w:lang w:eastAsia="en-US"/>
        </w:rPr>
        <w:t xml:space="preserve"> del Servizio di Malattie Infettive Os</w:t>
      </w:r>
      <w:r w:rsidR="009F1F3B">
        <w:rPr>
          <w:rFonts w:asciiTheme="minorHAnsi" w:eastAsiaTheme="minorHAnsi" w:hAnsiTheme="minorHAnsi" w:cstheme="minorHAnsi"/>
          <w:sz w:val="22"/>
          <w:szCs w:val="22"/>
          <w:lang w:eastAsia="en-US"/>
        </w:rPr>
        <w:t>pedaliero di riferimento locale secondo le modalità organizzative individuate da ASST</w:t>
      </w:r>
    </w:p>
    <w:p w14:paraId="42B379C9" w14:textId="4179B98E" w:rsidR="00BC65BD" w:rsidRPr="009A1D53" w:rsidRDefault="00BC65BD" w:rsidP="009A1D53">
      <w:pPr>
        <w:pStyle w:val="paragraph"/>
        <w:jc w:val="both"/>
        <w:textAlignment w:val="baseline"/>
        <w:rPr>
          <w:rFonts w:asciiTheme="minorHAnsi" w:eastAsiaTheme="minorHAnsi" w:hAnsiTheme="minorHAnsi" w:cstheme="minorHAnsi"/>
          <w:sz w:val="22"/>
          <w:szCs w:val="22"/>
          <w:lang w:eastAsia="en-US"/>
        </w:rPr>
      </w:pPr>
      <w:r w:rsidRPr="009A1D53">
        <w:rPr>
          <w:rFonts w:asciiTheme="minorHAnsi" w:eastAsiaTheme="minorHAnsi" w:hAnsiTheme="minorHAnsi" w:cstheme="minorHAnsi"/>
          <w:sz w:val="22"/>
          <w:szCs w:val="22"/>
          <w:lang w:eastAsia="en-US"/>
        </w:rPr>
        <w:t>L’</w:t>
      </w:r>
      <w:proofErr w:type="spellStart"/>
      <w:r w:rsidRPr="009A1D53">
        <w:rPr>
          <w:rFonts w:asciiTheme="minorHAnsi" w:eastAsiaTheme="minorHAnsi" w:hAnsiTheme="minorHAnsi" w:cstheme="minorHAnsi"/>
          <w:sz w:val="22"/>
          <w:szCs w:val="22"/>
          <w:lang w:eastAsia="en-US"/>
        </w:rPr>
        <w:t>hotspot</w:t>
      </w:r>
      <w:proofErr w:type="spellEnd"/>
      <w:r w:rsidRPr="009A1D53">
        <w:rPr>
          <w:rFonts w:asciiTheme="minorHAnsi" w:eastAsiaTheme="minorHAnsi" w:hAnsiTheme="minorHAnsi" w:cstheme="minorHAnsi"/>
          <w:sz w:val="22"/>
          <w:szCs w:val="22"/>
          <w:lang w:eastAsia="en-US"/>
        </w:rPr>
        <w:t xml:space="preserve"> è attivabile dal NEA116117/UNICA</w:t>
      </w:r>
    </w:p>
    <w:p w14:paraId="7A53E05E" w14:textId="77777777" w:rsidR="00BC65BD" w:rsidRPr="009A1D53" w:rsidRDefault="00BC65BD" w:rsidP="009A1D53">
      <w:pPr>
        <w:pStyle w:val="paragraph"/>
        <w:jc w:val="both"/>
        <w:textAlignment w:val="baseline"/>
        <w:rPr>
          <w:rFonts w:asciiTheme="minorHAnsi" w:eastAsiaTheme="minorHAnsi" w:hAnsiTheme="minorHAnsi" w:cstheme="minorHAnsi"/>
          <w:sz w:val="22"/>
          <w:szCs w:val="22"/>
          <w:lang w:eastAsia="en-US"/>
        </w:rPr>
      </w:pPr>
      <w:r w:rsidRPr="009A1D53">
        <w:rPr>
          <w:rFonts w:asciiTheme="minorHAnsi" w:eastAsiaTheme="minorHAnsi" w:hAnsiTheme="minorHAnsi" w:cstheme="minorHAnsi"/>
          <w:sz w:val="22"/>
          <w:szCs w:val="22"/>
          <w:lang w:eastAsia="en-US"/>
        </w:rPr>
        <w:t xml:space="preserve">Nei mesi sopra indicati, gli </w:t>
      </w:r>
      <w:proofErr w:type="spellStart"/>
      <w:r w:rsidRPr="009A1D53">
        <w:rPr>
          <w:rFonts w:asciiTheme="minorHAnsi" w:eastAsiaTheme="minorHAnsi" w:hAnsiTheme="minorHAnsi" w:cstheme="minorHAnsi"/>
          <w:sz w:val="22"/>
          <w:szCs w:val="22"/>
          <w:lang w:eastAsia="en-US"/>
        </w:rPr>
        <w:t>hotspot</w:t>
      </w:r>
      <w:proofErr w:type="spellEnd"/>
      <w:r w:rsidRPr="009A1D53">
        <w:rPr>
          <w:rFonts w:asciiTheme="minorHAnsi" w:eastAsiaTheme="minorHAnsi" w:hAnsiTheme="minorHAnsi" w:cstheme="minorHAnsi"/>
          <w:sz w:val="22"/>
          <w:szCs w:val="22"/>
          <w:lang w:eastAsia="en-US"/>
        </w:rPr>
        <w:t xml:space="preserve"> si affiancheranno alle sedi di Continuità Assistenziale manifestando una capacità di risposta più mirata verso le sindromi influenzali, integrandosi con il complesso sistema della continuità assistenziale secondo il modello regionale, contenendo, per quanto possibile, l'accesso al pronto soccorso per prestazioni non urgenti e/o considerabili inappropriate.</w:t>
      </w:r>
    </w:p>
    <w:p w14:paraId="7ED379DE" w14:textId="742715F1" w:rsidR="00BC65BD" w:rsidRPr="009A1D53" w:rsidRDefault="00BC65BD" w:rsidP="009A1D53">
      <w:pPr>
        <w:spacing w:after="0" w:line="240" w:lineRule="auto"/>
        <w:jc w:val="both"/>
        <w:rPr>
          <w:rFonts w:asciiTheme="minorHAnsi" w:hAnsiTheme="minorHAnsi" w:cstheme="minorHAnsi"/>
        </w:rPr>
      </w:pPr>
      <w:r w:rsidRPr="009A1D53">
        <w:rPr>
          <w:rFonts w:asciiTheme="minorHAnsi" w:hAnsiTheme="minorHAnsi" w:cstheme="minorHAnsi"/>
        </w:rPr>
        <w:t xml:space="preserve">La retribuzione per l’attività svolta dal </w:t>
      </w:r>
      <w:r w:rsidR="0011507E">
        <w:rPr>
          <w:rFonts w:asciiTheme="minorHAnsi" w:hAnsiTheme="minorHAnsi" w:cstheme="minorHAnsi"/>
        </w:rPr>
        <w:t>MAP</w:t>
      </w:r>
      <w:r w:rsidRPr="009A1D53">
        <w:rPr>
          <w:rFonts w:asciiTheme="minorHAnsi" w:hAnsiTheme="minorHAnsi" w:cstheme="minorHAnsi"/>
        </w:rPr>
        <w:t xml:space="preserve"> è riconosciuta come segue: compenso per attività libero professionale </w:t>
      </w:r>
      <w:r w:rsidRPr="009A1D53">
        <w:rPr>
          <w:rFonts w:asciiTheme="minorHAnsi" w:hAnsiTheme="minorHAnsi" w:cstheme="minorHAnsi"/>
          <w:u w:val="single"/>
        </w:rPr>
        <w:t>su base oraria</w:t>
      </w:r>
      <w:r w:rsidRPr="009A1D53">
        <w:rPr>
          <w:rFonts w:asciiTheme="minorHAnsi" w:hAnsiTheme="minorHAnsi" w:cstheme="minorHAnsi"/>
        </w:rPr>
        <w:t xml:space="preserve"> (*): € 80,00/ora</w:t>
      </w:r>
      <w:r w:rsidR="0011507E">
        <w:rPr>
          <w:rFonts w:asciiTheme="minorHAnsi" w:hAnsiTheme="minorHAnsi" w:cstheme="minorHAnsi"/>
        </w:rPr>
        <w:t>.</w:t>
      </w:r>
    </w:p>
    <w:p w14:paraId="11F74671" w14:textId="77777777" w:rsidR="00BC65BD" w:rsidRPr="009A1D53" w:rsidRDefault="00BC65BD" w:rsidP="009A1D53">
      <w:pPr>
        <w:pStyle w:val="paragraph"/>
        <w:spacing w:beforeAutospacing="0" w:after="0" w:afterAutospacing="0"/>
        <w:jc w:val="both"/>
        <w:textAlignment w:val="baseline"/>
        <w:rPr>
          <w:rFonts w:asciiTheme="minorHAnsi" w:hAnsiTheme="minorHAnsi" w:cstheme="minorHAnsi"/>
          <w:bCs/>
          <w:color w:val="000000" w:themeColor="text1"/>
          <w:sz w:val="22"/>
          <w:szCs w:val="22"/>
        </w:rPr>
      </w:pPr>
    </w:p>
    <w:p w14:paraId="56561C37"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4085488A"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543CB8D0"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388AE5DF"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43A15B7A"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203F2B64"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32706D87"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1E26917D"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48A819CA"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73F228C1"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2C12742B"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5AFF596E" w14:textId="135E4E0D" w:rsidR="00BC65BD" w:rsidRDefault="00FF1299" w:rsidP="00FF1299">
      <w:pPr>
        <w:pStyle w:val="paragraph"/>
        <w:spacing w:beforeAutospacing="0" w:after="0" w:afterAutospacing="0"/>
        <w:jc w:val="right"/>
        <w:textAlignment w:val="baseline"/>
        <w:rPr>
          <w:rStyle w:val="normaltextrun"/>
          <w:rFonts w:asciiTheme="minorHAnsi" w:hAnsiTheme="minorHAnsi" w:cstheme="minorHAnsi"/>
          <w:b/>
          <w:color w:val="000000" w:themeColor="text1"/>
          <w:sz w:val="22"/>
          <w:szCs w:val="22"/>
        </w:rPr>
      </w:pPr>
      <w:r w:rsidRPr="00FF1299">
        <w:rPr>
          <w:rStyle w:val="normaltextrun"/>
          <w:rFonts w:asciiTheme="minorHAnsi" w:hAnsiTheme="minorHAnsi" w:cstheme="minorHAnsi"/>
          <w:b/>
          <w:color w:val="000000" w:themeColor="text1"/>
          <w:sz w:val="22"/>
          <w:szCs w:val="22"/>
        </w:rPr>
        <w:t>ALLEGATO 3</w:t>
      </w:r>
    </w:p>
    <w:p w14:paraId="23E4FDC6" w14:textId="22E85F7C" w:rsidR="00FF1299" w:rsidRPr="00FF1299" w:rsidRDefault="00FF1299" w:rsidP="00FF1299">
      <w:pPr>
        <w:pStyle w:val="paragraph"/>
        <w:spacing w:beforeAutospacing="0" w:after="0" w:afterAutospacing="0"/>
        <w:jc w:val="center"/>
        <w:textAlignment w:val="baseline"/>
        <w:rPr>
          <w:rStyle w:val="normaltextrun"/>
          <w:rFonts w:asciiTheme="minorHAnsi" w:hAnsiTheme="minorHAnsi" w:cstheme="minorHAnsi"/>
          <w:b/>
          <w:color w:val="000000" w:themeColor="text1"/>
          <w:sz w:val="22"/>
          <w:szCs w:val="22"/>
        </w:rPr>
      </w:pPr>
      <w:r w:rsidRPr="00FF1299">
        <w:rPr>
          <w:rStyle w:val="normaltextrun"/>
          <w:rFonts w:asciiTheme="minorHAnsi" w:hAnsiTheme="minorHAnsi" w:cstheme="minorHAnsi"/>
          <w:b/>
          <w:color w:val="000000" w:themeColor="text1"/>
          <w:sz w:val="22"/>
          <w:szCs w:val="22"/>
          <w:highlight w:val="yellow"/>
        </w:rPr>
        <w:t>BILANCIO DI SALUTE</w:t>
      </w:r>
    </w:p>
    <w:p w14:paraId="1116B990"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2FD992AB"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48DC7D4B"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4DBF718C"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4473F6C1"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2FCE1D5C"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114924B2"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3E118513"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412AFD86"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294CCC6E"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Bidi"/>
          <w:color w:val="000000" w:themeColor="text1"/>
          <w:sz w:val="22"/>
          <w:szCs w:val="22"/>
        </w:rPr>
      </w:pPr>
    </w:p>
    <w:p w14:paraId="675A28AB" w14:textId="23F090BB" w:rsidR="4DAE69A3" w:rsidRPr="009A1D53" w:rsidRDefault="4DAE69A3" w:rsidP="009A1D53">
      <w:pPr>
        <w:pStyle w:val="paragraph"/>
        <w:spacing w:beforeAutospacing="0" w:after="0" w:afterAutospacing="0"/>
        <w:jc w:val="both"/>
        <w:rPr>
          <w:rStyle w:val="normaltextrun"/>
          <w:rFonts w:asciiTheme="minorHAnsi" w:hAnsiTheme="minorHAnsi" w:cstheme="minorBidi"/>
          <w:color w:val="000000" w:themeColor="text1"/>
          <w:sz w:val="22"/>
          <w:szCs w:val="22"/>
        </w:rPr>
      </w:pPr>
    </w:p>
    <w:p w14:paraId="03FACDFE" w14:textId="0E4B541D" w:rsidR="4DAE69A3" w:rsidRPr="009A1D53" w:rsidRDefault="4DAE69A3" w:rsidP="009A1D53">
      <w:pPr>
        <w:pStyle w:val="paragraph"/>
        <w:spacing w:beforeAutospacing="0" w:after="0" w:afterAutospacing="0"/>
        <w:jc w:val="both"/>
        <w:rPr>
          <w:rStyle w:val="normaltextrun"/>
          <w:rFonts w:asciiTheme="minorHAnsi" w:hAnsiTheme="minorHAnsi" w:cstheme="minorBidi"/>
          <w:color w:val="000000" w:themeColor="text1"/>
          <w:sz w:val="22"/>
          <w:szCs w:val="22"/>
        </w:rPr>
      </w:pPr>
    </w:p>
    <w:p w14:paraId="59A1247A" w14:textId="31DF73B7" w:rsidR="4DAE69A3" w:rsidRPr="009A1D53" w:rsidRDefault="4DAE69A3" w:rsidP="009A1D53">
      <w:pPr>
        <w:pStyle w:val="paragraph"/>
        <w:spacing w:beforeAutospacing="0" w:after="0" w:afterAutospacing="0"/>
        <w:jc w:val="both"/>
        <w:rPr>
          <w:rStyle w:val="normaltextrun"/>
          <w:rFonts w:asciiTheme="minorHAnsi" w:hAnsiTheme="minorHAnsi" w:cstheme="minorBidi"/>
          <w:color w:val="000000" w:themeColor="text1"/>
          <w:sz w:val="22"/>
          <w:szCs w:val="22"/>
        </w:rPr>
      </w:pPr>
    </w:p>
    <w:p w14:paraId="77D36A63" w14:textId="2EDA27DC" w:rsidR="4DAE69A3" w:rsidRDefault="4DAE69A3" w:rsidP="009A1D53">
      <w:pPr>
        <w:pStyle w:val="paragraph"/>
        <w:spacing w:beforeAutospacing="0" w:after="0" w:afterAutospacing="0"/>
        <w:jc w:val="both"/>
        <w:rPr>
          <w:rStyle w:val="normaltextrun"/>
          <w:rFonts w:asciiTheme="minorHAnsi" w:hAnsiTheme="minorHAnsi" w:cstheme="minorBidi"/>
          <w:color w:val="000000" w:themeColor="text1"/>
          <w:sz w:val="22"/>
          <w:szCs w:val="22"/>
        </w:rPr>
      </w:pPr>
    </w:p>
    <w:p w14:paraId="406C9D7F" w14:textId="77777777" w:rsidR="00990CDF" w:rsidRDefault="00990CDF" w:rsidP="009A1D53">
      <w:pPr>
        <w:pStyle w:val="paragraph"/>
        <w:spacing w:beforeAutospacing="0" w:after="0" w:afterAutospacing="0"/>
        <w:jc w:val="both"/>
        <w:rPr>
          <w:rStyle w:val="normaltextrun"/>
          <w:rFonts w:asciiTheme="minorHAnsi" w:hAnsiTheme="minorHAnsi" w:cstheme="minorBidi"/>
          <w:color w:val="000000" w:themeColor="text1"/>
          <w:sz w:val="22"/>
          <w:szCs w:val="22"/>
        </w:rPr>
      </w:pPr>
    </w:p>
    <w:p w14:paraId="21E2D686" w14:textId="77777777" w:rsidR="00990CDF" w:rsidRDefault="00990CDF" w:rsidP="009A1D53">
      <w:pPr>
        <w:pStyle w:val="paragraph"/>
        <w:spacing w:beforeAutospacing="0" w:after="0" w:afterAutospacing="0"/>
        <w:jc w:val="both"/>
        <w:rPr>
          <w:rStyle w:val="normaltextrun"/>
          <w:rFonts w:asciiTheme="minorHAnsi" w:hAnsiTheme="minorHAnsi" w:cstheme="minorBidi"/>
          <w:color w:val="000000" w:themeColor="text1"/>
          <w:sz w:val="22"/>
          <w:szCs w:val="22"/>
        </w:rPr>
      </w:pPr>
    </w:p>
    <w:p w14:paraId="164C8DCD" w14:textId="77777777" w:rsidR="00990CDF" w:rsidRDefault="00990CDF" w:rsidP="009A1D53">
      <w:pPr>
        <w:pStyle w:val="paragraph"/>
        <w:spacing w:beforeAutospacing="0" w:after="0" w:afterAutospacing="0"/>
        <w:jc w:val="both"/>
        <w:rPr>
          <w:rStyle w:val="normaltextrun"/>
          <w:rFonts w:asciiTheme="minorHAnsi" w:hAnsiTheme="minorHAnsi" w:cstheme="minorBidi"/>
          <w:color w:val="000000" w:themeColor="text1"/>
          <w:sz w:val="22"/>
          <w:szCs w:val="22"/>
        </w:rPr>
      </w:pPr>
    </w:p>
    <w:p w14:paraId="11E8B104" w14:textId="77777777" w:rsidR="00990CDF" w:rsidRDefault="00990CDF" w:rsidP="009A1D53">
      <w:pPr>
        <w:pStyle w:val="paragraph"/>
        <w:spacing w:beforeAutospacing="0" w:after="0" w:afterAutospacing="0"/>
        <w:jc w:val="both"/>
        <w:rPr>
          <w:rStyle w:val="normaltextrun"/>
          <w:rFonts w:asciiTheme="minorHAnsi" w:hAnsiTheme="minorHAnsi" w:cstheme="minorBidi"/>
          <w:color w:val="000000" w:themeColor="text1"/>
          <w:sz w:val="22"/>
          <w:szCs w:val="22"/>
        </w:rPr>
      </w:pPr>
    </w:p>
    <w:p w14:paraId="26DB9B21" w14:textId="77777777" w:rsidR="00990CDF" w:rsidRDefault="00990CDF" w:rsidP="009A1D53">
      <w:pPr>
        <w:pStyle w:val="paragraph"/>
        <w:spacing w:beforeAutospacing="0" w:after="0" w:afterAutospacing="0"/>
        <w:jc w:val="both"/>
        <w:rPr>
          <w:rStyle w:val="normaltextrun"/>
          <w:rFonts w:asciiTheme="minorHAnsi" w:hAnsiTheme="minorHAnsi" w:cstheme="minorBidi"/>
          <w:color w:val="000000" w:themeColor="text1"/>
          <w:sz w:val="22"/>
          <w:szCs w:val="22"/>
        </w:rPr>
      </w:pPr>
    </w:p>
    <w:p w14:paraId="51DB0F10" w14:textId="77777777" w:rsidR="00990CDF" w:rsidRDefault="00990CDF" w:rsidP="009A1D53">
      <w:pPr>
        <w:pStyle w:val="paragraph"/>
        <w:spacing w:beforeAutospacing="0" w:after="0" w:afterAutospacing="0"/>
        <w:jc w:val="both"/>
        <w:rPr>
          <w:rStyle w:val="normaltextrun"/>
          <w:rFonts w:asciiTheme="minorHAnsi" w:hAnsiTheme="minorHAnsi" w:cstheme="minorBidi"/>
          <w:color w:val="000000" w:themeColor="text1"/>
          <w:sz w:val="22"/>
          <w:szCs w:val="22"/>
        </w:rPr>
      </w:pPr>
    </w:p>
    <w:p w14:paraId="5BDDBCFE" w14:textId="77777777" w:rsidR="00990CDF" w:rsidRDefault="00990CDF" w:rsidP="009A1D53">
      <w:pPr>
        <w:pStyle w:val="paragraph"/>
        <w:spacing w:beforeAutospacing="0" w:after="0" w:afterAutospacing="0"/>
        <w:jc w:val="both"/>
        <w:rPr>
          <w:rStyle w:val="normaltextrun"/>
          <w:rFonts w:asciiTheme="minorHAnsi" w:hAnsiTheme="minorHAnsi" w:cstheme="minorBidi"/>
          <w:color w:val="000000" w:themeColor="text1"/>
          <w:sz w:val="22"/>
          <w:szCs w:val="22"/>
        </w:rPr>
      </w:pPr>
    </w:p>
    <w:p w14:paraId="64A8307E" w14:textId="77777777" w:rsidR="00990CDF" w:rsidRDefault="00990CDF" w:rsidP="009A1D53">
      <w:pPr>
        <w:pStyle w:val="paragraph"/>
        <w:spacing w:beforeAutospacing="0" w:after="0" w:afterAutospacing="0"/>
        <w:jc w:val="both"/>
        <w:rPr>
          <w:rStyle w:val="normaltextrun"/>
          <w:rFonts w:asciiTheme="minorHAnsi" w:hAnsiTheme="minorHAnsi" w:cstheme="minorBidi"/>
          <w:color w:val="000000" w:themeColor="text1"/>
          <w:sz w:val="22"/>
          <w:szCs w:val="22"/>
        </w:rPr>
      </w:pPr>
    </w:p>
    <w:p w14:paraId="235931E9" w14:textId="77777777" w:rsidR="00990CDF" w:rsidRDefault="00990CDF" w:rsidP="009A1D53">
      <w:pPr>
        <w:pStyle w:val="paragraph"/>
        <w:spacing w:beforeAutospacing="0" w:after="0" w:afterAutospacing="0"/>
        <w:jc w:val="both"/>
        <w:rPr>
          <w:rStyle w:val="normaltextrun"/>
          <w:rFonts w:asciiTheme="minorHAnsi" w:hAnsiTheme="minorHAnsi" w:cstheme="minorBidi"/>
          <w:color w:val="000000" w:themeColor="text1"/>
          <w:sz w:val="22"/>
          <w:szCs w:val="22"/>
        </w:rPr>
      </w:pPr>
    </w:p>
    <w:p w14:paraId="2FDC6CD8" w14:textId="77777777" w:rsidR="00990CDF" w:rsidRDefault="00990CDF" w:rsidP="009A1D53">
      <w:pPr>
        <w:pStyle w:val="paragraph"/>
        <w:spacing w:beforeAutospacing="0" w:after="0" w:afterAutospacing="0"/>
        <w:jc w:val="both"/>
        <w:rPr>
          <w:rStyle w:val="normaltextrun"/>
          <w:rFonts w:asciiTheme="minorHAnsi" w:hAnsiTheme="minorHAnsi" w:cstheme="minorBidi"/>
          <w:color w:val="000000" w:themeColor="text1"/>
          <w:sz w:val="22"/>
          <w:szCs w:val="22"/>
        </w:rPr>
      </w:pPr>
    </w:p>
    <w:p w14:paraId="364872F6" w14:textId="77777777" w:rsidR="00990CDF" w:rsidRDefault="00990CDF" w:rsidP="009A1D53">
      <w:pPr>
        <w:pStyle w:val="paragraph"/>
        <w:spacing w:beforeAutospacing="0" w:after="0" w:afterAutospacing="0"/>
        <w:jc w:val="both"/>
        <w:rPr>
          <w:rStyle w:val="normaltextrun"/>
          <w:rFonts w:asciiTheme="minorHAnsi" w:hAnsiTheme="minorHAnsi" w:cstheme="minorBidi"/>
          <w:color w:val="000000" w:themeColor="text1"/>
          <w:sz w:val="22"/>
          <w:szCs w:val="22"/>
        </w:rPr>
      </w:pPr>
    </w:p>
    <w:p w14:paraId="146F0EB4" w14:textId="77777777" w:rsidR="00990CDF" w:rsidRDefault="00990CDF" w:rsidP="009A1D53">
      <w:pPr>
        <w:pStyle w:val="paragraph"/>
        <w:spacing w:beforeAutospacing="0" w:after="0" w:afterAutospacing="0"/>
        <w:jc w:val="both"/>
        <w:rPr>
          <w:rStyle w:val="normaltextrun"/>
          <w:rFonts w:asciiTheme="minorHAnsi" w:hAnsiTheme="minorHAnsi" w:cstheme="minorBidi"/>
          <w:color w:val="000000" w:themeColor="text1"/>
          <w:sz w:val="22"/>
          <w:szCs w:val="22"/>
        </w:rPr>
      </w:pPr>
    </w:p>
    <w:p w14:paraId="0393BFE0" w14:textId="77777777" w:rsidR="00990CDF" w:rsidRPr="009A1D53" w:rsidRDefault="00990CDF" w:rsidP="009A1D53">
      <w:pPr>
        <w:pStyle w:val="paragraph"/>
        <w:spacing w:beforeAutospacing="0" w:after="0" w:afterAutospacing="0"/>
        <w:jc w:val="both"/>
        <w:rPr>
          <w:rStyle w:val="normaltextrun"/>
          <w:rFonts w:asciiTheme="minorHAnsi" w:hAnsiTheme="minorHAnsi" w:cstheme="minorBidi"/>
          <w:color w:val="000000" w:themeColor="text1"/>
          <w:sz w:val="22"/>
          <w:szCs w:val="22"/>
        </w:rPr>
      </w:pPr>
    </w:p>
    <w:p w14:paraId="024B6E22"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22CCBD7C"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238DFB31"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53367792" w14:textId="77777777" w:rsidR="00EB2AFE" w:rsidRDefault="00EB2AFE" w:rsidP="009A1D53">
      <w:pPr>
        <w:spacing w:after="0" w:line="240" w:lineRule="auto"/>
        <w:ind w:hanging="426"/>
        <w:jc w:val="right"/>
        <w:rPr>
          <w:rFonts w:asciiTheme="minorHAnsi" w:hAnsiTheme="minorHAnsi" w:cstheme="minorHAnsi"/>
          <w:b/>
        </w:rPr>
      </w:pPr>
    </w:p>
    <w:p w14:paraId="6B95EB50" w14:textId="77777777" w:rsidR="00EB2AFE" w:rsidRDefault="00EB2AFE" w:rsidP="009A1D53">
      <w:pPr>
        <w:spacing w:after="0" w:line="240" w:lineRule="auto"/>
        <w:ind w:hanging="426"/>
        <w:jc w:val="right"/>
        <w:rPr>
          <w:rFonts w:asciiTheme="minorHAnsi" w:hAnsiTheme="minorHAnsi" w:cstheme="minorHAnsi"/>
          <w:b/>
        </w:rPr>
      </w:pPr>
    </w:p>
    <w:p w14:paraId="13A18E89" w14:textId="5857EEAF" w:rsidR="00BC65BD" w:rsidRPr="00E55093" w:rsidRDefault="00990CDF" w:rsidP="009A1D53">
      <w:pPr>
        <w:spacing w:after="0" w:line="240" w:lineRule="auto"/>
        <w:ind w:hanging="426"/>
        <w:jc w:val="right"/>
        <w:rPr>
          <w:rFonts w:asciiTheme="minorHAnsi" w:hAnsiTheme="minorHAnsi" w:cstheme="minorHAnsi"/>
          <w:b/>
          <w:highlight w:val="yellow"/>
        </w:rPr>
      </w:pPr>
      <w:r w:rsidRPr="00E55093">
        <w:rPr>
          <w:rFonts w:asciiTheme="minorHAnsi" w:hAnsiTheme="minorHAnsi" w:cstheme="minorHAnsi"/>
          <w:b/>
          <w:highlight w:val="yellow"/>
        </w:rPr>
        <w:t>ALLEGATO 4</w:t>
      </w:r>
    </w:p>
    <w:p w14:paraId="37E5E9E6" w14:textId="77777777" w:rsidR="00BC65BD" w:rsidRPr="00E55093" w:rsidRDefault="00BC65BD" w:rsidP="009A1D53">
      <w:pPr>
        <w:spacing w:after="0" w:line="240" w:lineRule="auto"/>
        <w:jc w:val="center"/>
        <w:rPr>
          <w:rFonts w:asciiTheme="minorHAnsi" w:hAnsiTheme="minorHAnsi" w:cstheme="minorHAnsi"/>
          <w:b/>
          <w:caps/>
          <w:highlight w:val="yellow"/>
        </w:rPr>
      </w:pPr>
      <w:r w:rsidRPr="00E55093">
        <w:rPr>
          <w:rFonts w:asciiTheme="minorHAnsi" w:hAnsiTheme="minorHAnsi" w:cstheme="minorHAnsi"/>
          <w:b/>
          <w:caps/>
          <w:highlight w:val="yellow"/>
        </w:rPr>
        <w:t>Diagnostica per l’invio precoce al trattamento delle malattie HCV correlate</w:t>
      </w:r>
    </w:p>
    <w:p w14:paraId="0A4AE504" w14:textId="77777777" w:rsidR="00BC65BD" w:rsidRPr="00E55093" w:rsidRDefault="00BC65BD" w:rsidP="009A1D53">
      <w:pPr>
        <w:spacing w:after="0" w:line="240" w:lineRule="auto"/>
        <w:jc w:val="both"/>
        <w:rPr>
          <w:rStyle w:val="normaltextrun"/>
          <w:rFonts w:asciiTheme="minorHAnsi" w:hAnsiTheme="minorHAnsi" w:cstheme="minorHAnsi"/>
          <w:color w:val="000000" w:themeColor="text1"/>
          <w:highlight w:val="yellow"/>
        </w:rPr>
      </w:pPr>
    </w:p>
    <w:p w14:paraId="7640705D" w14:textId="77777777" w:rsidR="00BC65BD" w:rsidRPr="00E55093" w:rsidRDefault="00BC65BD" w:rsidP="009A1D53">
      <w:pPr>
        <w:spacing w:after="0" w:line="240" w:lineRule="auto"/>
        <w:jc w:val="both"/>
        <w:rPr>
          <w:rStyle w:val="normaltextrun"/>
          <w:rFonts w:asciiTheme="minorHAnsi" w:eastAsiaTheme="minorEastAsia" w:hAnsiTheme="minorHAnsi" w:cstheme="minorHAnsi"/>
          <w:highlight w:val="yellow"/>
        </w:rPr>
      </w:pPr>
      <w:r w:rsidRPr="00E55093">
        <w:rPr>
          <w:rStyle w:val="normaltextrun"/>
          <w:rFonts w:asciiTheme="minorHAnsi" w:hAnsiTheme="minorHAnsi" w:cstheme="minorHAnsi"/>
          <w:color w:val="000000" w:themeColor="text1"/>
          <w:highlight w:val="yellow"/>
        </w:rPr>
        <w:t xml:space="preserve">L’attività consiste nella somministrazione del </w:t>
      </w:r>
      <w:r w:rsidRPr="00E55093">
        <w:rPr>
          <w:rStyle w:val="normaltextrun"/>
          <w:rFonts w:asciiTheme="minorHAnsi" w:hAnsiTheme="minorHAnsi" w:cstheme="minorHAnsi"/>
          <w:highlight w:val="yellow"/>
          <w:lang w:eastAsia="it-IT"/>
        </w:rPr>
        <w:t>TEST RAPIDO Antigenico HCV</w:t>
      </w:r>
      <w:r w:rsidRPr="00E55093">
        <w:rPr>
          <w:rStyle w:val="normaltextrun"/>
          <w:rFonts w:asciiTheme="minorHAnsi" w:hAnsiTheme="minorHAnsi" w:cstheme="minorHAnsi"/>
          <w:color w:val="000000" w:themeColor="text1"/>
          <w:highlight w:val="yellow"/>
        </w:rPr>
        <w:t xml:space="preserve"> agli assistiti nati nelle coorti tra il 1969 e il 1989</w:t>
      </w:r>
      <w:r w:rsidRPr="00E55093">
        <w:rPr>
          <w:rStyle w:val="normaltextrun"/>
          <w:rFonts w:asciiTheme="minorHAnsi" w:eastAsiaTheme="minorEastAsia" w:hAnsiTheme="minorHAnsi" w:cstheme="minorHAnsi"/>
          <w:highlight w:val="yellow"/>
        </w:rPr>
        <w:t xml:space="preserve">. I kit verranno distribuiti ai MMG direttamente dalle ASST. A fronte di specifiche indicazioni, che verranno fornite dalla Direzione Generale Welfare, il MMG registrerà l’esito del test sul portale SMI. </w:t>
      </w:r>
    </w:p>
    <w:p w14:paraId="21239C8B" w14:textId="77777777" w:rsidR="00BC65BD" w:rsidRPr="00E55093" w:rsidRDefault="00BC65BD" w:rsidP="009A1D53">
      <w:pPr>
        <w:spacing w:after="0" w:line="240" w:lineRule="auto"/>
        <w:jc w:val="both"/>
        <w:rPr>
          <w:rFonts w:asciiTheme="minorHAnsi" w:hAnsiTheme="minorHAnsi" w:cstheme="minorHAnsi"/>
          <w:highlight w:val="yellow"/>
        </w:rPr>
      </w:pPr>
    </w:p>
    <w:p w14:paraId="6E39449A" w14:textId="2C1DDEC3" w:rsidR="00BC65BD" w:rsidRPr="00E55093" w:rsidRDefault="00BC65BD" w:rsidP="009A1D53">
      <w:pPr>
        <w:spacing w:after="0" w:line="240" w:lineRule="auto"/>
        <w:jc w:val="both"/>
        <w:rPr>
          <w:rFonts w:asciiTheme="minorHAnsi" w:hAnsiTheme="minorHAnsi" w:cstheme="minorBidi"/>
          <w:highlight w:val="yellow"/>
        </w:rPr>
      </w:pPr>
      <w:r w:rsidRPr="00E55093">
        <w:rPr>
          <w:rFonts w:asciiTheme="minorHAnsi" w:hAnsiTheme="minorHAnsi" w:cstheme="minorBidi"/>
          <w:highlight w:val="yellow"/>
        </w:rPr>
        <w:t>La retribuzione per l’attività svolta dal MMG è riconosciuta come segue:</w:t>
      </w:r>
      <w:r w:rsidR="00874BF9" w:rsidRPr="00E55093">
        <w:rPr>
          <w:rFonts w:asciiTheme="minorHAnsi" w:hAnsiTheme="minorHAnsi" w:cstheme="minorBidi"/>
          <w:highlight w:val="yellow"/>
        </w:rPr>
        <w:t xml:space="preserve"> compenso pari </w:t>
      </w:r>
      <w:r w:rsidR="00A72FDC" w:rsidRPr="00E55093">
        <w:rPr>
          <w:rFonts w:asciiTheme="minorHAnsi" w:hAnsiTheme="minorHAnsi" w:cstheme="minorBidi"/>
          <w:highlight w:val="yellow"/>
        </w:rPr>
        <w:t>a Euro</w:t>
      </w:r>
      <w:r w:rsidR="00874BF9" w:rsidRPr="00E55093">
        <w:rPr>
          <w:rFonts w:asciiTheme="minorHAnsi" w:hAnsiTheme="minorHAnsi" w:cstheme="minorBidi"/>
          <w:highlight w:val="yellow"/>
        </w:rPr>
        <w:t xml:space="preserve"> 250,00 ogni </w:t>
      </w:r>
      <w:r w:rsidR="00A72FDC" w:rsidRPr="00E55093">
        <w:rPr>
          <w:rFonts w:asciiTheme="minorHAnsi" w:hAnsiTheme="minorHAnsi" w:cstheme="minorBidi"/>
          <w:highlight w:val="yellow"/>
        </w:rPr>
        <w:t>15</w:t>
      </w:r>
      <w:r w:rsidR="002B1E6C" w:rsidRPr="00E55093">
        <w:rPr>
          <w:rFonts w:asciiTheme="minorHAnsi" w:hAnsiTheme="minorHAnsi" w:cstheme="minorBidi"/>
          <w:highlight w:val="yellow"/>
        </w:rPr>
        <w:t xml:space="preserve"> </w:t>
      </w:r>
      <w:r w:rsidRPr="00E55093">
        <w:rPr>
          <w:rFonts w:asciiTheme="minorHAnsi" w:hAnsiTheme="minorHAnsi" w:cstheme="minorBidi"/>
          <w:highlight w:val="yellow"/>
        </w:rPr>
        <w:t>assistiti eleggibili sottoposti a test.</w:t>
      </w:r>
      <w:r w:rsidR="00DB0DAB" w:rsidRPr="00E55093">
        <w:rPr>
          <w:rFonts w:asciiTheme="minorHAnsi" w:hAnsiTheme="minorHAnsi" w:cstheme="minorBidi"/>
          <w:highlight w:val="yellow"/>
        </w:rPr>
        <w:t xml:space="preserve"> </w:t>
      </w:r>
    </w:p>
    <w:p w14:paraId="2609CC6C" w14:textId="4DDF366A" w:rsidR="00BC65BD" w:rsidRPr="00C85FB3" w:rsidRDefault="00C85FB3" w:rsidP="009A1D53">
      <w:pPr>
        <w:pStyle w:val="paragraph"/>
        <w:jc w:val="both"/>
        <w:textAlignment w:val="baseline"/>
        <w:rPr>
          <w:rStyle w:val="normaltextrun"/>
          <w:rFonts w:asciiTheme="minorHAnsi" w:hAnsiTheme="minorHAnsi" w:cstheme="minorHAnsi"/>
          <w:sz w:val="22"/>
          <w:szCs w:val="22"/>
        </w:rPr>
      </w:pPr>
      <w:r w:rsidRPr="00E55093">
        <w:rPr>
          <w:rStyle w:val="normaltextrun"/>
          <w:rFonts w:asciiTheme="minorHAnsi" w:hAnsiTheme="minorHAnsi" w:cstheme="minorHAnsi"/>
          <w:sz w:val="22"/>
          <w:szCs w:val="22"/>
          <w:highlight w:val="yellow"/>
        </w:rPr>
        <w:t>Attività attesa per il 2025.</w:t>
      </w:r>
    </w:p>
    <w:p w14:paraId="60F4041A"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0C4E547B"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340BAFE7"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3F67F3C1"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11FF0DDB"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00C33CC4"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5CFED323"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36F6DECD"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37CE31CB"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7C5911FB"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0013D734"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143393AD"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19B506A7"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50CCFBA5"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62DEBB74"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15CA48F4"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0C5D7D21"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79960F36"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0CD27B9D"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01DCE638"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12789DF5"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3850688B"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7FC7713D"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21501BB6" w14:textId="77777777" w:rsidR="00BC65BD" w:rsidRPr="009A1D53" w:rsidRDefault="00BC65BD" w:rsidP="009A1D53">
      <w:pPr>
        <w:pStyle w:val="paragraph"/>
        <w:spacing w:beforeAutospacing="0" w:after="0" w:afterAutospacing="0"/>
        <w:jc w:val="both"/>
        <w:textAlignment w:val="baseline"/>
        <w:rPr>
          <w:rStyle w:val="normaltextrun"/>
          <w:rFonts w:asciiTheme="minorHAnsi" w:hAnsiTheme="minorHAnsi" w:cstheme="minorHAnsi"/>
          <w:color w:val="000000" w:themeColor="text1"/>
          <w:sz w:val="22"/>
          <w:szCs w:val="22"/>
        </w:rPr>
      </w:pPr>
    </w:p>
    <w:p w14:paraId="217436A0" w14:textId="595AF1D3" w:rsidR="006643CE" w:rsidRPr="00990CDF" w:rsidRDefault="006643CE" w:rsidP="00990CDF">
      <w:pPr>
        <w:pStyle w:val="paragraph"/>
        <w:spacing w:beforeAutospacing="0" w:after="0" w:afterAutospacing="0"/>
        <w:jc w:val="both"/>
        <w:textAlignment w:val="baseline"/>
        <w:rPr>
          <w:rFonts w:asciiTheme="minorHAnsi" w:hAnsiTheme="minorHAnsi" w:cstheme="minorHAnsi"/>
          <w:color w:val="000000" w:themeColor="text1"/>
          <w:sz w:val="22"/>
          <w:szCs w:val="22"/>
        </w:rPr>
      </w:pPr>
    </w:p>
    <w:sectPr w:rsidR="006643CE" w:rsidRPr="00990CDF" w:rsidSect="007E438C">
      <w:footerReference w:type="even" r:id="rId9"/>
      <w:footerReference w:type="default" r:id="rId10"/>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5C0F8" w14:textId="77777777" w:rsidR="00821E71" w:rsidRDefault="00821E71" w:rsidP="00587092">
      <w:pPr>
        <w:spacing w:after="0" w:line="240" w:lineRule="auto"/>
      </w:pPr>
      <w:r>
        <w:separator/>
      </w:r>
    </w:p>
  </w:endnote>
  <w:endnote w:type="continuationSeparator" w:id="0">
    <w:p w14:paraId="3F5BAD87" w14:textId="77777777" w:rsidR="00821E71" w:rsidRDefault="00821E71" w:rsidP="00587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1784490829"/>
      <w:docPartObj>
        <w:docPartGallery w:val="Page Numbers (Bottom of Page)"/>
        <w:docPartUnique/>
      </w:docPartObj>
    </w:sdtPr>
    <w:sdtEndPr>
      <w:rPr>
        <w:rStyle w:val="Numeropagina"/>
      </w:rPr>
    </w:sdtEndPr>
    <w:sdtContent>
      <w:p w14:paraId="32AFA82F" w14:textId="3845DDE8" w:rsidR="009F1F3B" w:rsidRDefault="009F1F3B" w:rsidP="00552D3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A20AD92" w14:textId="77777777" w:rsidR="009F1F3B" w:rsidRDefault="009F1F3B" w:rsidP="00587092">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718439179"/>
      <w:docPartObj>
        <w:docPartGallery w:val="Page Numbers (Bottom of Page)"/>
        <w:docPartUnique/>
      </w:docPartObj>
    </w:sdtPr>
    <w:sdtEndPr>
      <w:rPr>
        <w:rStyle w:val="Numeropagina"/>
      </w:rPr>
    </w:sdtEndPr>
    <w:sdtContent>
      <w:p w14:paraId="6C4BE978" w14:textId="619A0DCF" w:rsidR="009F1F3B" w:rsidRDefault="009F1F3B" w:rsidP="00552D3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696E4D">
          <w:rPr>
            <w:rStyle w:val="Numeropagina"/>
            <w:noProof/>
          </w:rPr>
          <w:t>17</w:t>
        </w:r>
        <w:r>
          <w:rPr>
            <w:rStyle w:val="Numeropagina"/>
          </w:rPr>
          <w:fldChar w:fldCharType="end"/>
        </w:r>
      </w:p>
    </w:sdtContent>
  </w:sdt>
  <w:p w14:paraId="5BEB4892" w14:textId="77777777" w:rsidR="009F1F3B" w:rsidRDefault="009F1F3B" w:rsidP="00587092">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2E094" w14:textId="77777777" w:rsidR="00821E71" w:rsidRDefault="00821E71" w:rsidP="00587092">
      <w:pPr>
        <w:spacing w:after="0" w:line="240" w:lineRule="auto"/>
      </w:pPr>
      <w:r>
        <w:separator/>
      </w:r>
    </w:p>
  </w:footnote>
  <w:footnote w:type="continuationSeparator" w:id="0">
    <w:p w14:paraId="35903695" w14:textId="77777777" w:rsidR="00821E71" w:rsidRDefault="00821E71" w:rsidP="005870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44376"/>
    <w:multiLevelType w:val="hybridMultilevel"/>
    <w:tmpl w:val="9F18C4B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726629"/>
    <w:multiLevelType w:val="hybridMultilevel"/>
    <w:tmpl w:val="1D885F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3BA204A"/>
    <w:multiLevelType w:val="multilevel"/>
    <w:tmpl w:val="C2781B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9E4E1E"/>
    <w:multiLevelType w:val="hybridMultilevel"/>
    <w:tmpl w:val="2440F8E8"/>
    <w:lvl w:ilvl="0" w:tplc="61E89CE0">
      <w:start w:val="1"/>
      <w:numFmt w:val="decimal"/>
      <w:lvlText w:val="%1."/>
      <w:lvlJc w:val="left"/>
      <w:pPr>
        <w:ind w:left="294" w:hanging="360"/>
      </w:pPr>
      <w:rPr>
        <w:color w:val="auto"/>
        <w:sz w:val="20"/>
        <w:szCs w:val="20"/>
      </w:r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4">
    <w:nsid w:val="42295688"/>
    <w:multiLevelType w:val="hybridMultilevel"/>
    <w:tmpl w:val="B3AA3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2592193"/>
    <w:multiLevelType w:val="hybridMultilevel"/>
    <w:tmpl w:val="622EFE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B007BAD"/>
    <w:multiLevelType w:val="hybridMultilevel"/>
    <w:tmpl w:val="F51015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0FE5721"/>
    <w:multiLevelType w:val="hybridMultilevel"/>
    <w:tmpl w:val="A20C29E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5AA2F23"/>
    <w:multiLevelType w:val="multilevel"/>
    <w:tmpl w:val="C2781B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5D6F53"/>
    <w:multiLevelType w:val="hybridMultilevel"/>
    <w:tmpl w:val="4BB0FDE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0893C59"/>
    <w:multiLevelType w:val="hybridMultilevel"/>
    <w:tmpl w:val="E2A0C0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A7969D6"/>
    <w:multiLevelType w:val="hybridMultilevel"/>
    <w:tmpl w:val="1FEAB0B8"/>
    <w:lvl w:ilvl="0" w:tplc="22CC5138">
      <w:start w:val="1"/>
      <w:numFmt w:val="decimal"/>
      <w:lvlText w:val="%1."/>
      <w:lvlJc w:val="left"/>
      <w:pPr>
        <w:tabs>
          <w:tab w:val="num" w:pos="720"/>
        </w:tabs>
        <w:ind w:left="720" w:hanging="360"/>
      </w:pPr>
    </w:lvl>
    <w:lvl w:ilvl="1" w:tplc="4E020F6C" w:tentative="1">
      <w:start w:val="1"/>
      <w:numFmt w:val="decimal"/>
      <w:lvlText w:val="%2."/>
      <w:lvlJc w:val="left"/>
      <w:pPr>
        <w:tabs>
          <w:tab w:val="num" w:pos="1440"/>
        </w:tabs>
        <w:ind w:left="1440" w:hanging="360"/>
      </w:pPr>
    </w:lvl>
    <w:lvl w:ilvl="2" w:tplc="173E10C0" w:tentative="1">
      <w:start w:val="1"/>
      <w:numFmt w:val="decimal"/>
      <w:lvlText w:val="%3."/>
      <w:lvlJc w:val="left"/>
      <w:pPr>
        <w:tabs>
          <w:tab w:val="num" w:pos="2160"/>
        </w:tabs>
        <w:ind w:left="2160" w:hanging="360"/>
      </w:pPr>
    </w:lvl>
    <w:lvl w:ilvl="3" w:tplc="D1DEC484" w:tentative="1">
      <w:start w:val="1"/>
      <w:numFmt w:val="decimal"/>
      <w:lvlText w:val="%4."/>
      <w:lvlJc w:val="left"/>
      <w:pPr>
        <w:tabs>
          <w:tab w:val="num" w:pos="2880"/>
        </w:tabs>
        <w:ind w:left="2880" w:hanging="360"/>
      </w:pPr>
    </w:lvl>
    <w:lvl w:ilvl="4" w:tplc="AF72573E" w:tentative="1">
      <w:start w:val="1"/>
      <w:numFmt w:val="decimal"/>
      <w:lvlText w:val="%5."/>
      <w:lvlJc w:val="left"/>
      <w:pPr>
        <w:tabs>
          <w:tab w:val="num" w:pos="3600"/>
        </w:tabs>
        <w:ind w:left="3600" w:hanging="360"/>
      </w:pPr>
    </w:lvl>
    <w:lvl w:ilvl="5" w:tplc="459A9D3E" w:tentative="1">
      <w:start w:val="1"/>
      <w:numFmt w:val="decimal"/>
      <w:lvlText w:val="%6."/>
      <w:lvlJc w:val="left"/>
      <w:pPr>
        <w:tabs>
          <w:tab w:val="num" w:pos="4320"/>
        </w:tabs>
        <w:ind w:left="4320" w:hanging="360"/>
      </w:pPr>
    </w:lvl>
    <w:lvl w:ilvl="6" w:tplc="D47C3474" w:tentative="1">
      <w:start w:val="1"/>
      <w:numFmt w:val="decimal"/>
      <w:lvlText w:val="%7."/>
      <w:lvlJc w:val="left"/>
      <w:pPr>
        <w:tabs>
          <w:tab w:val="num" w:pos="5040"/>
        </w:tabs>
        <w:ind w:left="5040" w:hanging="360"/>
      </w:pPr>
    </w:lvl>
    <w:lvl w:ilvl="7" w:tplc="8D428C84" w:tentative="1">
      <w:start w:val="1"/>
      <w:numFmt w:val="decimal"/>
      <w:lvlText w:val="%8."/>
      <w:lvlJc w:val="left"/>
      <w:pPr>
        <w:tabs>
          <w:tab w:val="num" w:pos="5760"/>
        </w:tabs>
        <w:ind w:left="5760" w:hanging="360"/>
      </w:pPr>
    </w:lvl>
    <w:lvl w:ilvl="8" w:tplc="3842836C" w:tentative="1">
      <w:start w:val="1"/>
      <w:numFmt w:val="decimal"/>
      <w:lvlText w:val="%9."/>
      <w:lvlJc w:val="left"/>
      <w:pPr>
        <w:tabs>
          <w:tab w:val="num" w:pos="6480"/>
        </w:tabs>
        <w:ind w:left="6480" w:hanging="360"/>
      </w:pPr>
    </w:lvl>
  </w:abstractNum>
  <w:abstractNum w:abstractNumId="12">
    <w:nsid w:val="6F0864B4"/>
    <w:multiLevelType w:val="hybridMultilevel"/>
    <w:tmpl w:val="51FA464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17E4A39"/>
    <w:multiLevelType w:val="hybridMultilevel"/>
    <w:tmpl w:val="50D8E87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99467AD"/>
    <w:multiLevelType w:val="hybridMultilevel"/>
    <w:tmpl w:val="FBA0AF3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3"/>
  </w:num>
  <w:num w:numId="4">
    <w:abstractNumId w:val="11"/>
  </w:num>
  <w:num w:numId="5">
    <w:abstractNumId w:val="10"/>
  </w:num>
  <w:num w:numId="6">
    <w:abstractNumId w:val="2"/>
  </w:num>
  <w:num w:numId="7">
    <w:abstractNumId w:val="13"/>
  </w:num>
  <w:num w:numId="8">
    <w:abstractNumId w:val="1"/>
  </w:num>
  <w:num w:numId="9">
    <w:abstractNumId w:val="0"/>
  </w:num>
  <w:num w:numId="10">
    <w:abstractNumId w:val="8"/>
  </w:num>
  <w:num w:numId="11">
    <w:abstractNumId w:val="4"/>
  </w:num>
  <w:num w:numId="12">
    <w:abstractNumId w:val="12"/>
  </w:num>
  <w:num w:numId="13">
    <w:abstractNumId w:val="9"/>
  </w:num>
  <w:num w:numId="14">
    <w:abstractNumId w:val="7"/>
  </w:num>
  <w:num w:numId="1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it-IT" w:vendorID="64" w:dllVersion="4096" w:nlCheck="1" w:checkStyle="0"/>
  <w:activeWritingStyle w:appName="MSWord" w:lang="it-IT" w:vendorID="64" w:dllVersion="131078"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46"/>
    <w:rsid w:val="00010D0C"/>
    <w:rsid w:val="00024308"/>
    <w:rsid w:val="00026EB1"/>
    <w:rsid w:val="00027441"/>
    <w:rsid w:val="000324C8"/>
    <w:rsid w:val="000405A7"/>
    <w:rsid w:val="00065997"/>
    <w:rsid w:val="00077105"/>
    <w:rsid w:val="00083ED7"/>
    <w:rsid w:val="0008514D"/>
    <w:rsid w:val="00092E72"/>
    <w:rsid w:val="00097634"/>
    <w:rsid w:val="000B3E5A"/>
    <w:rsid w:val="000C1ED5"/>
    <w:rsid w:val="000D201B"/>
    <w:rsid w:val="000E2250"/>
    <w:rsid w:val="000F404E"/>
    <w:rsid w:val="00103E2E"/>
    <w:rsid w:val="001100E7"/>
    <w:rsid w:val="001101F0"/>
    <w:rsid w:val="00113691"/>
    <w:rsid w:val="0011507E"/>
    <w:rsid w:val="00122755"/>
    <w:rsid w:val="001522AB"/>
    <w:rsid w:val="00154D95"/>
    <w:rsid w:val="00157D69"/>
    <w:rsid w:val="00162459"/>
    <w:rsid w:val="0016362A"/>
    <w:rsid w:val="00167A63"/>
    <w:rsid w:val="0017154B"/>
    <w:rsid w:val="001775D4"/>
    <w:rsid w:val="00195A7F"/>
    <w:rsid w:val="00196F46"/>
    <w:rsid w:val="001B52C1"/>
    <w:rsid w:val="001E3C08"/>
    <w:rsid w:val="001E7E59"/>
    <w:rsid w:val="00200472"/>
    <w:rsid w:val="00201B28"/>
    <w:rsid w:val="002075EC"/>
    <w:rsid w:val="00221BE9"/>
    <w:rsid w:val="00233FAC"/>
    <w:rsid w:val="00235D4C"/>
    <w:rsid w:val="00246482"/>
    <w:rsid w:val="00250DC2"/>
    <w:rsid w:val="00260DA1"/>
    <w:rsid w:val="00260FFE"/>
    <w:rsid w:val="002631FD"/>
    <w:rsid w:val="00272240"/>
    <w:rsid w:val="002801FE"/>
    <w:rsid w:val="002844EA"/>
    <w:rsid w:val="002A4544"/>
    <w:rsid w:val="002B166F"/>
    <w:rsid w:val="002B1E6C"/>
    <w:rsid w:val="002B7557"/>
    <w:rsid w:val="002C2E81"/>
    <w:rsid w:val="002C5739"/>
    <w:rsid w:val="002E4EE4"/>
    <w:rsid w:val="002F0298"/>
    <w:rsid w:val="002F0DAC"/>
    <w:rsid w:val="002F24B2"/>
    <w:rsid w:val="002F37E8"/>
    <w:rsid w:val="002F70F4"/>
    <w:rsid w:val="00301CB8"/>
    <w:rsid w:val="00303037"/>
    <w:rsid w:val="0030570D"/>
    <w:rsid w:val="00310429"/>
    <w:rsid w:val="00320506"/>
    <w:rsid w:val="0032559A"/>
    <w:rsid w:val="00353735"/>
    <w:rsid w:val="0037491F"/>
    <w:rsid w:val="00385700"/>
    <w:rsid w:val="00391070"/>
    <w:rsid w:val="003A0332"/>
    <w:rsid w:val="003A2CE5"/>
    <w:rsid w:val="003D2891"/>
    <w:rsid w:val="003E5442"/>
    <w:rsid w:val="003E629D"/>
    <w:rsid w:val="0040667C"/>
    <w:rsid w:val="00406E11"/>
    <w:rsid w:val="004147DE"/>
    <w:rsid w:val="004249C2"/>
    <w:rsid w:val="004404B5"/>
    <w:rsid w:val="00450C47"/>
    <w:rsid w:val="00456D23"/>
    <w:rsid w:val="00480C39"/>
    <w:rsid w:val="00485F4D"/>
    <w:rsid w:val="004A169C"/>
    <w:rsid w:val="004A3B98"/>
    <w:rsid w:val="004B2859"/>
    <w:rsid w:val="004B74D6"/>
    <w:rsid w:val="004D5F08"/>
    <w:rsid w:val="004E02C2"/>
    <w:rsid w:val="004F0A44"/>
    <w:rsid w:val="004F42ED"/>
    <w:rsid w:val="00502C58"/>
    <w:rsid w:val="00510952"/>
    <w:rsid w:val="00510A42"/>
    <w:rsid w:val="005132C4"/>
    <w:rsid w:val="0051656D"/>
    <w:rsid w:val="00520F68"/>
    <w:rsid w:val="005257E4"/>
    <w:rsid w:val="0052606C"/>
    <w:rsid w:val="005322CA"/>
    <w:rsid w:val="00551AC9"/>
    <w:rsid w:val="00552D30"/>
    <w:rsid w:val="00555CCD"/>
    <w:rsid w:val="005613E4"/>
    <w:rsid w:val="00584C63"/>
    <w:rsid w:val="005858A6"/>
    <w:rsid w:val="00587092"/>
    <w:rsid w:val="00591325"/>
    <w:rsid w:val="005945E7"/>
    <w:rsid w:val="005B5645"/>
    <w:rsid w:val="005D2D4E"/>
    <w:rsid w:val="005D3B55"/>
    <w:rsid w:val="0062107C"/>
    <w:rsid w:val="00624CD8"/>
    <w:rsid w:val="00627FAF"/>
    <w:rsid w:val="006465C7"/>
    <w:rsid w:val="006533FD"/>
    <w:rsid w:val="006643CE"/>
    <w:rsid w:val="00664F7D"/>
    <w:rsid w:val="006754C8"/>
    <w:rsid w:val="0067743C"/>
    <w:rsid w:val="00687CED"/>
    <w:rsid w:val="0069625F"/>
    <w:rsid w:val="00696E4D"/>
    <w:rsid w:val="006B26BC"/>
    <w:rsid w:val="006B3542"/>
    <w:rsid w:val="006C6837"/>
    <w:rsid w:val="006C6BC4"/>
    <w:rsid w:val="006C786D"/>
    <w:rsid w:val="00706275"/>
    <w:rsid w:val="00710B0E"/>
    <w:rsid w:val="00720BA7"/>
    <w:rsid w:val="00734E93"/>
    <w:rsid w:val="00737CAB"/>
    <w:rsid w:val="0076360A"/>
    <w:rsid w:val="00766B5C"/>
    <w:rsid w:val="00773177"/>
    <w:rsid w:val="00796D07"/>
    <w:rsid w:val="007A0BF4"/>
    <w:rsid w:val="007A26C7"/>
    <w:rsid w:val="007A4578"/>
    <w:rsid w:val="007A73CD"/>
    <w:rsid w:val="007B6F68"/>
    <w:rsid w:val="007E438C"/>
    <w:rsid w:val="00804A59"/>
    <w:rsid w:val="00810A66"/>
    <w:rsid w:val="00821E71"/>
    <w:rsid w:val="008275E5"/>
    <w:rsid w:val="00831641"/>
    <w:rsid w:val="0083254B"/>
    <w:rsid w:val="00835A7F"/>
    <w:rsid w:val="0085552D"/>
    <w:rsid w:val="008632DC"/>
    <w:rsid w:val="00870935"/>
    <w:rsid w:val="00874BF9"/>
    <w:rsid w:val="00883064"/>
    <w:rsid w:val="00893A8B"/>
    <w:rsid w:val="008A73ED"/>
    <w:rsid w:val="008B2F53"/>
    <w:rsid w:val="008B3F80"/>
    <w:rsid w:val="008D048D"/>
    <w:rsid w:val="008E5241"/>
    <w:rsid w:val="009047DE"/>
    <w:rsid w:val="0090739B"/>
    <w:rsid w:val="00911D19"/>
    <w:rsid w:val="0092685D"/>
    <w:rsid w:val="00930BF7"/>
    <w:rsid w:val="0093317D"/>
    <w:rsid w:val="00953D6C"/>
    <w:rsid w:val="00956FBC"/>
    <w:rsid w:val="00961310"/>
    <w:rsid w:val="0096461F"/>
    <w:rsid w:val="009647DF"/>
    <w:rsid w:val="00967393"/>
    <w:rsid w:val="0097055E"/>
    <w:rsid w:val="00970E87"/>
    <w:rsid w:val="009767F5"/>
    <w:rsid w:val="00990CDF"/>
    <w:rsid w:val="009A1D53"/>
    <w:rsid w:val="009A6E08"/>
    <w:rsid w:val="009C0A55"/>
    <w:rsid w:val="009D13CD"/>
    <w:rsid w:val="009D48E8"/>
    <w:rsid w:val="009F1A2A"/>
    <w:rsid w:val="009F1F3B"/>
    <w:rsid w:val="00A21149"/>
    <w:rsid w:val="00A21AE1"/>
    <w:rsid w:val="00A32C2C"/>
    <w:rsid w:val="00A40E42"/>
    <w:rsid w:val="00A42C1B"/>
    <w:rsid w:val="00A52A3E"/>
    <w:rsid w:val="00A6713B"/>
    <w:rsid w:val="00A71D3D"/>
    <w:rsid w:val="00A71FC2"/>
    <w:rsid w:val="00A72FDC"/>
    <w:rsid w:val="00A82AF5"/>
    <w:rsid w:val="00A83E7D"/>
    <w:rsid w:val="00AA579E"/>
    <w:rsid w:val="00AA6630"/>
    <w:rsid w:val="00AB10F4"/>
    <w:rsid w:val="00AB127D"/>
    <w:rsid w:val="00AC5718"/>
    <w:rsid w:val="00AE71E5"/>
    <w:rsid w:val="00AF70A5"/>
    <w:rsid w:val="00AF70E5"/>
    <w:rsid w:val="00B01BEC"/>
    <w:rsid w:val="00B04493"/>
    <w:rsid w:val="00B134C6"/>
    <w:rsid w:val="00B3044E"/>
    <w:rsid w:val="00B5372A"/>
    <w:rsid w:val="00B6749E"/>
    <w:rsid w:val="00B73F75"/>
    <w:rsid w:val="00BA198F"/>
    <w:rsid w:val="00BA2CE4"/>
    <w:rsid w:val="00BB6299"/>
    <w:rsid w:val="00BC3E29"/>
    <w:rsid w:val="00BC65BD"/>
    <w:rsid w:val="00BC7C5E"/>
    <w:rsid w:val="00BC7CFD"/>
    <w:rsid w:val="00BD6517"/>
    <w:rsid w:val="00BF7885"/>
    <w:rsid w:val="00C20388"/>
    <w:rsid w:val="00C320CD"/>
    <w:rsid w:val="00C35DC7"/>
    <w:rsid w:val="00C53201"/>
    <w:rsid w:val="00C6579B"/>
    <w:rsid w:val="00C74035"/>
    <w:rsid w:val="00C85FB3"/>
    <w:rsid w:val="00C95966"/>
    <w:rsid w:val="00CA4327"/>
    <w:rsid w:val="00CA7398"/>
    <w:rsid w:val="00CB597E"/>
    <w:rsid w:val="00CD4863"/>
    <w:rsid w:val="00CD7597"/>
    <w:rsid w:val="00CD7D27"/>
    <w:rsid w:val="00D17515"/>
    <w:rsid w:val="00D32D23"/>
    <w:rsid w:val="00D379E9"/>
    <w:rsid w:val="00D55EDF"/>
    <w:rsid w:val="00D6478F"/>
    <w:rsid w:val="00D709B9"/>
    <w:rsid w:val="00D73E45"/>
    <w:rsid w:val="00D76309"/>
    <w:rsid w:val="00DA4449"/>
    <w:rsid w:val="00DB0DAB"/>
    <w:rsid w:val="00DD72C2"/>
    <w:rsid w:val="00DE04A0"/>
    <w:rsid w:val="00E05CC6"/>
    <w:rsid w:val="00E21026"/>
    <w:rsid w:val="00E25757"/>
    <w:rsid w:val="00E31A7C"/>
    <w:rsid w:val="00E35B20"/>
    <w:rsid w:val="00E37E32"/>
    <w:rsid w:val="00E5166C"/>
    <w:rsid w:val="00E52ABC"/>
    <w:rsid w:val="00E55093"/>
    <w:rsid w:val="00E661E1"/>
    <w:rsid w:val="00EA766F"/>
    <w:rsid w:val="00EB2AFE"/>
    <w:rsid w:val="00EB46F3"/>
    <w:rsid w:val="00EB65D5"/>
    <w:rsid w:val="00EB7742"/>
    <w:rsid w:val="00EE1B10"/>
    <w:rsid w:val="00EE29E9"/>
    <w:rsid w:val="00F03E06"/>
    <w:rsid w:val="00F06707"/>
    <w:rsid w:val="00F1444F"/>
    <w:rsid w:val="00F2025F"/>
    <w:rsid w:val="00F258A6"/>
    <w:rsid w:val="00F26DFB"/>
    <w:rsid w:val="00F40B5E"/>
    <w:rsid w:val="00F5476A"/>
    <w:rsid w:val="00F54EF8"/>
    <w:rsid w:val="00F611A6"/>
    <w:rsid w:val="00F74502"/>
    <w:rsid w:val="00F80CC5"/>
    <w:rsid w:val="00FA19A0"/>
    <w:rsid w:val="00FE209B"/>
    <w:rsid w:val="00FE6F7E"/>
    <w:rsid w:val="00FF1299"/>
    <w:rsid w:val="00FF2073"/>
    <w:rsid w:val="01C33470"/>
    <w:rsid w:val="01DB5179"/>
    <w:rsid w:val="02634AC4"/>
    <w:rsid w:val="02A49EBC"/>
    <w:rsid w:val="02D25277"/>
    <w:rsid w:val="034DD595"/>
    <w:rsid w:val="0580F489"/>
    <w:rsid w:val="05C84305"/>
    <w:rsid w:val="06264011"/>
    <w:rsid w:val="06694516"/>
    <w:rsid w:val="06EA20B7"/>
    <w:rsid w:val="06EE67D4"/>
    <w:rsid w:val="0737A8F5"/>
    <w:rsid w:val="07440541"/>
    <w:rsid w:val="07BAA3D7"/>
    <w:rsid w:val="07F4B8DD"/>
    <w:rsid w:val="0836C3BA"/>
    <w:rsid w:val="08D6A892"/>
    <w:rsid w:val="08EFC7F5"/>
    <w:rsid w:val="0934D780"/>
    <w:rsid w:val="0947E8D2"/>
    <w:rsid w:val="09E3E80E"/>
    <w:rsid w:val="0A020B78"/>
    <w:rsid w:val="0A5F726C"/>
    <w:rsid w:val="0AA2392F"/>
    <w:rsid w:val="0AAA9C81"/>
    <w:rsid w:val="0ACD77C7"/>
    <w:rsid w:val="0C06114A"/>
    <w:rsid w:val="0C20C757"/>
    <w:rsid w:val="0C31FDB1"/>
    <w:rsid w:val="0C3B513D"/>
    <w:rsid w:val="0C570336"/>
    <w:rsid w:val="0C666372"/>
    <w:rsid w:val="0CEEA06B"/>
    <w:rsid w:val="0D5850FC"/>
    <w:rsid w:val="0D957288"/>
    <w:rsid w:val="0EB14055"/>
    <w:rsid w:val="0EB87C78"/>
    <w:rsid w:val="0F57EE18"/>
    <w:rsid w:val="0FC5DF4B"/>
    <w:rsid w:val="104FF78D"/>
    <w:rsid w:val="130FDA8D"/>
    <w:rsid w:val="134369EF"/>
    <w:rsid w:val="13994124"/>
    <w:rsid w:val="146A3A3D"/>
    <w:rsid w:val="149FAEEB"/>
    <w:rsid w:val="16082449"/>
    <w:rsid w:val="161AE87A"/>
    <w:rsid w:val="1685464F"/>
    <w:rsid w:val="1793C7C3"/>
    <w:rsid w:val="187152EB"/>
    <w:rsid w:val="18C35219"/>
    <w:rsid w:val="18F57967"/>
    <w:rsid w:val="190D94D2"/>
    <w:rsid w:val="19524E48"/>
    <w:rsid w:val="1972CBF0"/>
    <w:rsid w:val="1AA3D979"/>
    <w:rsid w:val="1ACC434D"/>
    <w:rsid w:val="1AD97004"/>
    <w:rsid w:val="1B9E0CAD"/>
    <w:rsid w:val="1BFEAA24"/>
    <w:rsid w:val="1C29FC90"/>
    <w:rsid w:val="1C3F418D"/>
    <w:rsid w:val="1CB232AE"/>
    <w:rsid w:val="1D18AC4C"/>
    <w:rsid w:val="1E1AAC6D"/>
    <w:rsid w:val="1E1AD628"/>
    <w:rsid w:val="1EE65D6E"/>
    <w:rsid w:val="1EF39712"/>
    <w:rsid w:val="204EC9B7"/>
    <w:rsid w:val="2153C3DB"/>
    <w:rsid w:val="21864E54"/>
    <w:rsid w:val="21BF0469"/>
    <w:rsid w:val="21ED79A3"/>
    <w:rsid w:val="228E6CDF"/>
    <w:rsid w:val="23F9B1E7"/>
    <w:rsid w:val="2418AFA2"/>
    <w:rsid w:val="2441C287"/>
    <w:rsid w:val="24F29678"/>
    <w:rsid w:val="253D75B7"/>
    <w:rsid w:val="25BD20CE"/>
    <w:rsid w:val="262788E4"/>
    <w:rsid w:val="262CA287"/>
    <w:rsid w:val="2650B285"/>
    <w:rsid w:val="2661BEC7"/>
    <w:rsid w:val="269C44E8"/>
    <w:rsid w:val="26BA9E23"/>
    <w:rsid w:val="27337BD4"/>
    <w:rsid w:val="274138F8"/>
    <w:rsid w:val="275C9F2D"/>
    <w:rsid w:val="276CDB43"/>
    <w:rsid w:val="27BD156B"/>
    <w:rsid w:val="27C02CB7"/>
    <w:rsid w:val="28ABD901"/>
    <w:rsid w:val="28AE8B3E"/>
    <w:rsid w:val="28E219BC"/>
    <w:rsid w:val="290523E0"/>
    <w:rsid w:val="292C7344"/>
    <w:rsid w:val="29446DB1"/>
    <w:rsid w:val="294EFB3F"/>
    <w:rsid w:val="29B4678D"/>
    <w:rsid w:val="29BC30DC"/>
    <w:rsid w:val="2B7A3844"/>
    <w:rsid w:val="2BAE3AE3"/>
    <w:rsid w:val="2BC4FCF8"/>
    <w:rsid w:val="2C32F17B"/>
    <w:rsid w:val="2C976838"/>
    <w:rsid w:val="2CA00CC1"/>
    <w:rsid w:val="2CA9587F"/>
    <w:rsid w:val="2D081F7C"/>
    <w:rsid w:val="2D268409"/>
    <w:rsid w:val="2DB9C551"/>
    <w:rsid w:val="2DEF226C"/>
    <w:rsid w:val="2E4E4BAB"/>
    <w:rsid w:val="2E6DD6D2"/>
    <w:rsid w:val="2E99A8F8"/>
    <w:rsid w:val="2EAC69E9"/>
    <w:rsid w:val="2F61795D"/>
    <w:rsid w:val="300379F3"/>
    <w:rsid w:val="30520046"/>
    <w:rsid w:val="31D5DE1D"/>
    <w:rsid w:val="31EF80EC"/>
    <w:rsid w:val="322D4330"/>
    <w:rsid w:val="3283C13E"/>
    <w:rsid w:val="335CFD70"/>
    <w:rsid w:val="33D36045"/>
    <w:rsid w:val="34238AD5"/>
    <w:rsid w:val="34A56A72"/>
    <w:rsid w:val="34A8E225"/>
    <w:rsid w:val="34E5284C"/>
    <w:rsid w:val="364C55D3"/>
    <w:rsid w:val="3748A863"/>
    <w:rsid w:val="379B77AA"/>
    <w:rsid w:val="37B089A3"/>
    <w:rsid w:val="38A6E5EB"/>
    <w:rsid w:val="38E479DE"/>
    <w:rsid w:val="392DF85C"/>
    <w:rsid w:val="3B38817F"/>
    <w:rsid w:val="3B8CFF11"/>
    <w:rsid w:val="3C15B5E2"/>
    <w:rsid w:val="3CFB2919"/>
    <w:rsid w:val="3D10864A"/>
    <w:rsid w:val="3D382F61"/>
    <w:rsid w:val="3D5D4C92"/>
    <w:rsid w:val="3DDD3D55"/>
    <w:rsid w:val="3E0D9B6C"/>
    <w:rsid w:val="3F27B852"/>
    <w:rsid w:val="3FDFDB9E"/>
    <w:rsid w:val="3FE8DD9E"/>
    <w:rsid w:val="3FEE23AB"/>
    <w:rsid w:val="406B852A"/>
    <w:rsid w:val="4143F2C8"/>
    <w:rsid w:val="4168D1A4"/>
    <w:rsid w:val="421EEA53"/>
    <w:rsid w:val="425060EB"/>
    <w:rsid w:val="4258D692"/>
    <w:rsid w:val="42E3E315"/>
    <w:rsid w:val="431705F0"/>
    <w:rsid w:val="438E23D0"/>
    <w:rsid w:val="43E404B6"/>
    <w:rsid w:val="43F2B01A"/>
    <w:rsid w:val="43F8B5AF"/>
    <w:rsid w:val="44682371"/>
    <w:rsid w:val="44E9D53B"/>
    <w:rsid w:val="44F28AC5"/>
    <w:rsid w:val="45102B1B"/>
    <w:rsid w:val="45256FE6"/>
    <w:rsid w:val="453E4BE9"/>
    <w:rsid w:val="45BC81F5"/>
    <w:rsid w:val="45BF4486"/>
    <w:rsid w:val="45C468D8"/>
    <w:rsid w:val="4651C04B"/>
    <w:rsid w:val="466DD3F3"/>
    <w:rsid w:val="46D754AA"/>
    <w:rsid w:val="46F93805"/>
    <w:rsid w:val="473C73B1"/>
    <w:rsid w:val="474B4D03"/>
    <w:rsid w:val="47E3C9C8"/>
    <w:rsid w:val="47E7BFCB"/>
    <w:rsid w:val="4AB9347D"/>
    <w:rsid w:val="4B2BA26B"/>
    <w:rsid w:val="4B4FD0A9"/>
    <w:rsid w:val="4B5E6538"/>
    <w:rsid w:val="4B9455B5"/>
    <w:rsid w:val="4C40CBA0"/>
    <w:rsid w:val="4C772C85"/>
    <w:rsid w:val="4D14FDDD"/>
    <w:rsid w:val="4D5755E4"/>
    <w:rsid w:val="4D91C45B"/>
    <w:rsid w:val="4DAE69A3"/>
    <w:rsid w:val="4DB2F316"/>
    <w:rsid w:val="4E78BA27"/>
    <w:rsid w:val="4EF6ABDA"/>
    <w:rsid w:val="4F6B8ED7"/>
    <w:rsid w:val="4FF21F42"/>
    <w:rsid w:val="50AF1340"/>
    <w:rsid w:val="5249D95F"/>
    <w:rsid w:val="529B34DA"/>
    <w:rsid w:val="5353616B"/>
    <w:rsid w:val="5368FD34"/>
    <w:rsid w:val="53A4F5E7"/>
    <w:rsid w:val="543CA449"/>
    <w:rsid w:val="5687C99E"/>
    <w:rsid w:val="56DB7E24"/>
    <w:rsid w:val="57ACA8BB"/>
    <w:rsid w:val="57D0D7DD"/>
    <w:rsid w:val="584FF887"/>
    <w:rsid w:val="58B81E7C"/>
    <w:rsid w:val="59020A08"/>
    <w:rsid w:val="59120E84"/>
    <w:rsid w:val="5928A4C9"/>
    <w:rsid w:val="597DCF20"/>
    <w:rsid w:val="5AFBAA9A"/>
    <w:rsid w:val="5B3E23D2"/>
    <w:rsid w:val="5B607653"/>
    <w:rsid w:val="5D185F8E"/>
    <w:rsid w:val="5D3F20A7"/>
    <w:rsid w:val="5DF88D71"/>
    <w:rsid w:val="5E4DB5BC"/>
    <w:rsid w:val="5F13727A"/>
    <w:rsid w:val="5F4EF2B5"/>
    <w:rsid w:val="5FE13D1F"/>
    <w:rsid w:val="60BC9545"/>
    <w:rsid w:val="61791790"/>
    <w:rsid w:val="61D1FA57"/>
    <w:rsid w:val="620787FB"/>
    <w:rsid w:val="62BE8A87"/>
    <w:rsid w:val="6327179C"/>
    <w:rsid w:val="6340338B"/>
    <w:rsid w:val="63E0DB42"/>
    <w:rsid w:val="64281384"/>
    <w:rsid w:val="6492437D"/>
    <w:rsid w:val="65AF853B"/>
    <w:rsid w:val="65D5EE4E"/>
    <w:rsid w:val="6639671E"/>
    <w:rsid w:val="666755B2"/>
    <w:rsid w:val="681EB951"/>
    <w:rsid w:val="684B2413"/>
    <w:rsid w:val="68CF971F"/>
    <w:rsid w:val="68F8A022"/>
    <w:rsid w:val="6946ED65"/>
    <w:rsid w:val="699DB290"/>
    <w:rsid w:val="6A715091"/>
    <w:rsid w:val="6ADBD454"/>
    <w:rsid w:val="6B0F0814"/>
    <w:rsid w:val="6B56590C"/>
    <w:rsid w:val="6B6AACBC"/>
    <w:rsid w:val="6C13278A"/>
    <w:rsid w:val="6C46F379"/>
    <w:rsid w:val="6C49302E"/>
    <w:rsid w:val="6CA6AFB6"/>
    <w:rsid w:val="6CD3873E"/>
    <w:rsid w:val="6D0CA953"/>
    <w:rsid w:val="6D806C48"/>
    <w:rsid w:val="6EE64BC5"/>
    <w:rsid w:val="6EEE980A"/>
    <w:rsid w:val="6F90F772"/>
    <w:rsid w:val="6FA7BCB5"/>
    <w:rsid w:val="711D0EC0"/>
    <w:rsid w:val="71B321B1"/>
    <w:rsid w:val="71CC935B"/>
    <w:rsid w:val="7226B337"/>
    <w:rsid w:val="72484FDC"/>
    <w:rsid w:val="72790549"/>
    <w:rsid w:val="728FACAC"/>
    <w:rsid w:val="73EC8018"/>
    <w:rsid w:val="74582FBA"/>
    <w:rsid w:val="745FF718"/>
    <w:rsid w:val="75923F6C"/>
    <w:rsid w:val="75F08719"/>
    <w:rsid w:val="770EF460"/>
    <w:rsid w:val="771A75F2"/>
    <w:rsid w:val="77237B67"/>
    <w:rsid w:val="77A08743"/>
    <w:rsid w:val="77AFFCA7"/>
    <w:rsid w:val="77FA502F"/>
    <w:rsid w:val="781562E2"/>
    <w:rsid w:val="78243374"/>
    <w:rsid w:val="78AAB464"/>
    <w:rsid w:val="78C5746B"/>
    <w:rsid w:val="78F045F9"/>
    <w:rsid w:val="791D4C9B"/>
    <w:rsid w:val="79BD8D61"/>
    <w:rsid w:val="79D2C1A6"/>
    <w:rsid w:val="79FFDE09"/>
    <w:rsid w:val="7B5CAE3B"/>
    <w:rsid w:val="7C37D24C"/>
    <w:rsid w:val="7C7491BB"/>
    <w:rsid w:val="7C84AB53"/>
    <w:rsid w:val="7CE558F4"/>
    <w:rsid w:val="7DAA88BB"/>
    <w:rsid w:val="7DB06837"/>
    <w:rsid w:val="7DCCA0F4"/>
    <w:rsid w:val="7E451A79"/>
    <w:rsid w:val="7E84DD1E"/>
    <w:rsid w:val="7F1EFC53"/>
    <w:rsid w:val="7F684B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A814"/>
  <w15:chartTrackingRefBased/>
  <w15:docId w15:val="{316C5288-557D-45DC-B3B3-2BC4D9B1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739B"/>
    <w:rPr>
      <w:rFonts w:ascii="Calibri" w:eastAsia="Calibri" w:hAnsi="Calibri" w:cs="Times New Roman"/>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ormaltextrun">
    <w:name w:val="normaltextrun"/>
    <w:basedOn w:val="Carpredefinitoparagrafo"/>
    <w:qFormat/>
    <w:rsid w:val="00BC65BD"/>
  </w:style>
  <w:style w:type="character" w:customStyle="1" w:styleId="ParagrafoelencoCarattere">
    <w:name w:val="Paragrafo elenco Carattere"/>
    <w:aliases w:val="EL Paragrafo elenco Carattere,Paragrafo elenco puntato Carattere,List Bulletized Carattere,Paragrafo elenco livello 1 Carattere,Paragrafo elenco1 Carattere,Bullet List Carattere,FooterText Carattere,numbered Carattere"/>
    <w:basedOn w:val="Carpredefinitoparagrafo"/>
    <w:link w:val="Paragrafoelenco"/>
    <w:uiPriority w:val="34"/>
    <w:qFormat/>
    <w:rsid w:val="00BC65BD"/>
  </w:style>
  <w:style w:type="paragraph" w:customStyle="1" w:styleId="paragraph">
    <w:name w:val="paragraph"/>
    <w:basedOn w:val="Normale"/>
    <w:qFormat/>
    <w:rsid w:val="00BC65BD"/>
    <w:pPr>
      <w:suppressAutoHyphens/>
      <w:spacing w:beforeAutospacing="1" w:afterAutospacing="1" w:line="240" w:lineRule="auto"/>
    </w:pPr>
    <w:rPr>
      <w:rFonts w:ascii="Times New Roman" w:eastAsia="Times New Roman" w:hAnsi="Times New Roman"/>
      <w:kern w:val="0"/>
      <w:sz w:val="24"/>
      <w:szCs w:val="24"/>
      <w:lang w:eastAsia="it-IT"/>
    </w:rPr>
  </w:style>
  <w:style w:type="paragraph" w:styleId="Paragrafoelenco">
    <w:name w:val="List Paragraph"/>
    <w:aliases w:val="EL Paragrafo elenco,Paragrafo elenco puntato,List Bulletized,Paragrafo elenco livello 1,Paragrafo elenco1,Bullet List,FooterText,numbered,Normal bullet 2,Paragrafo elenco 2,List Paragraph11,Paragraphe de liste1,列出段落,capitolo 1,lp1,列出段落1"/>
    <w:basedOn w:val="Normale"/>
    <w:link w:val="ParagrafoelencoCarattere"/>
    <w:uiPriority w:val="34"/>
    <w:qFormat/>
    <w:rsid w:val="00BC65BD"/>
    <w:pPr>
      <w:suppressAutoHyphens/>
      <w:ind w:left="720"/>
      <w:contextualSpacing/>
    </w:pPr>
    <w:rPr>
      <w:rFonts w:asciiTheme="minorHAnsi" w:eastAsiaTheme="minorHAnsi" w:hAnsiTheme="minorHAnsi" w:cstheme="minorBidi"/>
      <w14:ligatures w14:val="standardContextual"/>
    </w:rPr>
  </w:style>
  <w:style w:type="paragraph" w:styleId="NormaleWeb">
    <w:name w:val="Normal (Web)"/>
    <w:basedOn w:val="Normale"/>
    <w:uiPriority w:val="99"/>
    <w:unhideWhenUsed/>
    <w:qFormat/>
    <w:rsid w:val="00BC65BD"/>
    <w:pPr>
      <w:spacing w:beforeAutospacing="1" w:afterAutospacing="1" w:line="240" w:lineRule="auto"/>
    </w:pPr>
    <w:rPr>
      <w:rFonts w:ascii="Times New Roman" w:eastAsia="Times New Roman" w:hAnsi="Times New Roman"/>
      <w:kern w:val="0"/>
      <w:sz w:val="24"/>
      <w:szCs w:val="24"/>
      <w:lang w:eastAsia="it-IT"/>
    </w:rPr>
  </w:style>
  <w:style w:type="table" w:styleId="Tabellagriglia1chiara-colore6">
    <w:name w:val="Grid Table 1 Light Accent 6"/>
    <w:basedOn w:val="Tabellanormale"/>
    <w:uiPriority w:val="46"/>
    <w:rsid w:val="00BC65BD"/>
    <w:pPr>
      <w:suppressAutoHyphens/>
      <w:spacing w:after="0" w:line="240" w:lineRule="auto"/>
    </w:pPr>
    <w:rPr>
      <w:kern w:val="0"/>
      <w14:ligatures w14:val="none"/>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ui-provider">
    <w:name w:val="ui-provider"/>
    <w:basedOn w:val="Carpredefinitoparagrafo"/>
    <w:rsid w:val="0051656D"/>
  </w:style>
  <w:style w:type="character" w:styleId="Rimandocommento">
    <w:name w:val="annotation reference"/>
    <w:basedOn w:val="Carpredefinitoparagrafo"/>
    <w:uiPriority w:val="99"/>
    <w:semiHidden/>
    <w:unhideWhenUsed/>
    <w:qFormat/>
    <w:rsid w:val="00EE1B10"/>
    <w:rPr>
      <w:sz w:val="16"/>
      <w:szCs w:val="16"/>
    </w:rPr>
  </w:style>
  <w:style w:type="paragraph" w:styleId="Testofumetto">
    <w:name w:val="Balloon Text"/>
    <w:basedOn w:val="Normale"/>
    <w:link w:val="TestofumettoCarattere"/>
    <w:uiPriority w:val="99"/>
    <w:semiHidden/>
    <w:unhideWhenUsed/>
    <w:rsid w:val="00A6713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6713B"/>
    <w:rPr>
      <w:rFonts w:ascii="Segoe UI" w:eastAsia="Calibri" w:hAnsi="Segoe UI" w:cs="Segoe UI"/>
      <w:sz w:val="18"/>
      <w:szCs w:val="18"/>
      <w14:ligatures w14:val="none"/>
    </w:rPr>
  </w:style>
  <w:style w:type="paragraph" w:styleId="Pidipagina">
    <w:name w:val="footer"/>
    <w:basedOn w:val="Normale"/>
    <w:link w:val="PidipaginaCarattere"/>
    <w:uiPriority w:val="99"/>
    <w:unhideWhenUsed/>
    <w:rsid w:val="005870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87092"/>
    <w:rPr>
      <w:rFonts w:ascii="Calibri" w:eastAsia="Calibri" w:hAnsi="Calibri" w:cs="Times New Roman"/>
      <w14:ligatures w14:val="none"/>
    </w:rPr>
  </w:style>
  <w:style w:type="character" w:styleId="Numeropagina">
    <w:name w:val="page number"/>
    <w:basedOn w:val="Carpredefinitoparagrafo"/>
    <w:uiPriority w:val="99"/>
    <w:semiHidden/>
    <w:unhideWhenUsed/>
    <w:rsid w:val="00587092"/>
  </w:style>
  <w:style w:type="paragraph" w:styleId="Testocommento">
    <w:name w:val="annotation text"/>
    <w:basedOn w:val="Normale"/>
    <w:link w:val="TestocommentoCarattere"/>
    <w:uiPriority w:val="99"/>
    <w:semiHidden/>
    <w:unhideWhenUsed/>
    <w:rsid w:val="00664F7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64F7D"/>
    <w:rPr>
      <w:rFonts w:ascii="Calibri" w:eastAsia="Calibri" w:hAnsi="Calibri" w:cs="Times New Roman"/>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664F7D"/>
    <w:rPr>
      <w:b/>
      <w:bCs/>
    </w:rPr>
  </w:style>
  <w:style w:type="character" w:customStyle="1" w:styleId="SoggettocommentoCarattere">
    <w:name w:val="Soggetto commento Carattere"/>
    <w:basedOn w:val="TestocommentoCarattere"/>
    <w:link w:val="Soggettocommento"/>
    <w:uiPriority w:val="99"/>
    <w:semiHidden/>
    <w:rsid w:val="00664F7D"/>
    <w:rPr>
      <w:rFonts w:ascii="Calibri" w:eastAsia="Calibri" w:hAnsi="Calibri" w:cs="Times New Roman"/>
      <w:b/>
      <w:bCs/>
      <w:sz w:val="20"/>
      <w:szCs w:val="20"/>
      <w14:ligatures w14:val="none"/>
    </w:rPr>
  </w:style>
  <w:style w:type="table" w:styleId="Grigliatabella">
    <w:name w:val="Table Grid"/>
    <w:basedOn w:val="Tabellanormale"/>
    <w:uiPriority w:val="39"/>
    <w:rsid w:val="008830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semiHidden/>
    <w:unhideWhenUsed/>
    <w:rsid w:val="002631FD"/>
    <w:rPr>
      <w:color w:val="0000FF"/>
      <w:u w:val="single"/>
    </w:rPr>
  </w:style>
  <w:style w:type="paragraph" w:customStyle="1" w:styleId="Default">
    <w:name w:val="Default"/>
    <w:rsid w:val="00990CDF"/>
    <w:pPr>
      <w:autoSpaceDE w:val="0"/>
      <w:autoSpaceDN w:val="0"/>
      <w:adjustRightInd w:val="0"/>
      <w:spacing w:after="0" w:line="240" w:lineRule="auto"/>
    </w:pPr>
    <w:rPr>
      <w:rFonts w:ascii="Cambria" w:hAnsi="Cambria" w:cs="Cambria"/>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855277">
      <w:bodyDiv w:val="1"/>
      <w:marLeft w:val="0"/>
      <w:marRight w:val="0"/>
      <w:marTop w:val="0"/>
      <w:marBottom w:val="0"/>
      <w:divBdr>
        <w:top w:val="none" w:sz="0" w:space="0" w:color="auto"/>
        <w:left w:val="none" w:sz="0" w:space="0" w:color="auto"/>
        <w:bottom w:val="none" w:sz="0" w:space="0" w:color="auto"/>
        <w:right w:val="none" w:sz="0" w:space="0" w:color="auto"/>
      </w:divBdr>
    </w:div>
    <w:div w:id="600647658">
      <w:bodyDiv w:val="1"/>
      <w:marLeft w:val="0"/>
      <w:marRight w:val="0"/>
      <w:marTop w:val="0"/>
      <w:marBottom w:val="0"/>
      <w:divBdr>
        <w:top w:val="none" w:sz="0" w:space="0" w:color="auto"/>
        <w:left w:val="none" w:sz="0" w:space="0" w:color="auto"/>
        <w:bottom w:val="none" w:sz="0" w:space="0" w:color="auto"/>
        <w:right w:val="none" w:sz="0" w:space="0" w:color="auto"/>
      </w:divBdr>
      <w:divsChild>
        <w:div w:id="1956399800">
          <w:marLeft w:val="0"/>
          <w:marRight w:val="0"/>
          <w:marTop w:val="0"/>
          <w:marBottom w:val="0"/>
          <w:divBdr>
            <w:top w:val="none" w:sz="0" w:space="0" w:color="auto"/>
            <w:left w:val="none" w:sz="0" w:space="0" w:color="auto"/>
            <w:bottom w:val="none" w:sz="0" w:space="0" w:color="auto"/>
            <w:right w:val="none" w:sz="0" w:space="0" w:color="auto"/>
          </w:divBdr>
        </w:div>
        <w:div w:id="297810159">
          <w:marLeft w:val="0"/>
          <w:marRight w:val="0"/>
          <w:marTop w:val="0"/>
          <w:marBottom w:val="0"/>
          <w:divBdr>
            <w:top w:val="none" w:sz="0" w:space="0" w:color="auto"/>
            <w:left w:val="none" w:sz="0" w:space="0" w:color="auto"/>
            <w:bottom w:val="none" w:sz="0" w:space="0" w:color="auto"/>
            <w:right w:val="none" w:sz="0" w:space="0" w:color="auto"/>
          </w:divBdr>
        </w:div>
        <w:div w:id="1347555619">
          <w:marLeft w:val="0"/>
          <w:marRight w:val="0"/>
          <w:marTop w:val="0"/>
          <w:marBottom w:val="0"/>
          <w:divBdr>
            <w:top w:val="none" w:sz="0" w:space="0" w:color="auto"/>
            <w:left w:val="none" w:sz="0" w:space="0" w:color="auto"/>
            <w:bottom w:val="none" w:sz="0" w:space="0" w:color="auto"/>
            <w:right w:val="none" w:sz="0" w:space="0" w:color="auto"/>
          </w:divBdr>
        </w:div>
        <w:div w:id="1983383665">
          <w:marLeft w:val="0"/>
          <w:marRight w:val="0"/>
          <w:marTop w:val="0"/>
          <w:marBottom w:val="0"/>
          <w:divBdr>
            <w:top w:val="none" w:sz="0" w:space="0" w:color="auto"/>
            <w:left w:val="none" w:sz="0" w:space="0" w:color="auto"/>
            <w:bottom w:val="none" w:sz="0" w:space="0" w:color="auto"/>
            <w:right w:val="none" w:sz="0" w:space="0" w:color="auto"/>
          </w:divBdr>
        </w:div>
        <w:div w:id="1909269744">
          <w:marLeft w:val="0"/>
          <w:marRight w:val="0"/>
          <w:marTop w:val="0"/>
          <w:marBottom w:val="0"/>
          <w:divBdr>
            <w:top w:val="none" w:sz="0" w:space="0" w:color="auto"/>
            <w:left w:val="none" w:sz="0" w:space="0" w:color="auto"/>
            <w:bottom w:val="none" w:sz="0" w:space="0" w:color="auto"/>
            <w:right w:val="none" w:sz="0" w:space="0" w:color="auto"/>
          </w:divBdr>
        </w:div>
      </w:divsChild>
    </w:div>
    <w:div w:id="981497535">
      <w:bodyDiv w:val="1"/>
      <w:marLeft w:val="0"/>
      <w:marRight w:val="0"/>
      <w:marTop w:val="0"/>
      <w:marBottom w:val="0"/>
      <w:divBdr>
        <w:top w:val="none" w:sz="0" w:space="0" w:color="auto"/>
        <w:left w:val="none" w:sz="0" w:space="0" w:color="auto"/>
        <w:bottom w:val="none" w:sz="0" w:space="0" w:color="auto"/>
        <w:right w:val="none" w:sz="0" w:space="0" w:color="auto"/>
      </w:divBdr>
      <w:divsChild>
        <w:div w:id="607665292">
          <w:marLeft w:val="0"/>
          <w:marRight w:val="0"/>
          <w:marTop w:val="0"/>
          <w:marBottom w:val="0"/>
          <w:divBdr>
            <w:top w:val="none" w:sz="0" w:space="0" w:color="auto"/>
            <w:left w:val="none" w:sz="0" w:space="0" w:color="auto"/>
            <w:bottom w:val="none" w:sz="0" w:space="0" w:color="auto"/>
            <w:right w:val="none" w:sz="0" w:space="0" w:color="auto"/>
          </w:divBdr>
        </w:div>
        <w:div w:id="1669937322">
          <w:marLeft w:val="0"/>
          <w:marRight w:val="0"/>
          <w:marTop w:val="0"/>
          <w:marBottom w:val="0"/>
          <w:divBdr>
            <w:top w:val="none" w:sz="0" w:space="0" w:color="auto"/>
            <w:left w:val="none" w:sz="0" w:space="0" w:color="auto"/>
            <w:bottom w:val="none" w:sz="0" w:space="0" w:color="auto"/>
            <w:right w:val="none" w:sz="0" w:space="0" w:color="auto"/>
          </w:divBdr>
        </w:div>
        <w:div w:id="1800418391">
          <w:marLeft w:val="0"/>
          <w:marRight w:val="0"/>
          <w:marTop w:val="0"/>
          <w:marBottom w:val="0"/>
          <w:divBdr>
            <w:top w:val="none" w:sz="0" w:space="0" w:color="auto"/>
            <w:left w:val="none" w:sz="0" w:space="0" w:color="auto"/>
            <w:bottom w:val="none" w:sz="0" w:space="0" w:color="auto"/>
            <w:right w:val="none" w:sz="0" w:space="0" w:color="auto"/>
          </w:divBdr>
        </w:div>
        <w:div w:id="1915819606">
          <w:marLeft w:val="0"/>
          <w:marRight w:val="0"/>
          <w:marTop w:val="0"/>
          <w:marBottom w:val="0"/>
          <w:divBdr>
            <w:top w:val="none" w:sz="0" w:space="0" w:color="auto"/>
            <w:left w:val="none" w:sz="0" w:space="0" w:color="auto"/>
            <w:bottom w:val="none" w:sz="0" w:space="0" w:color="auto"/>
            <w:right w:val="none" w:sz="0" w:space="0" w:color="auto"/>
          </w:divBdr>
        </w:div>
        <w:div w:id="1586954665">
          <w:marLeft w:val="0"/>
          <w:marRight w:val="0"/>
          <w:marTop w:val="0"/>
          <w:marBottom w:val="0"/>
          <w:divBdr>
            <w:top w:val="none" w:sz="0" w:space="0" w:color="auto"/>
            <w:left w:val="none" w:sz="0" w:space="0" w:color="auto"/>
            <w:bottom w:val="none" w:sz="0" w:space="0" w:color="auto"/>
            <w:right w:val="none" w:sz="0" w:space="0" w:color="auto"/>
          </w:divBdr>
        </w:div>
        <w:div w:id="720441604">
          <w:marLeft w:val="0"/>
          <w:marRight w:val="0"/>
          <w:marTop w:val="0"/>
          <w:marBottom w:val="0"/>
          <w:divBdr>
            <w:top w:val="none" w:sz="0" w:space="0" w:color="auto"/>
            <w:left w:val="none" w:sz="0" w:space="0" w:color="auto"/>
            <w:bottom w:val="none" w:sz="0" w:space="0" w:color="auto"/>
            <w:right w:val="none" w:sz="0" w:space="0" w:color="auto"/>
          </w:divBdr>
        </w:div>
        <w:div w:id="1546673987">
          <w:marLeft w:val="0"/>
          <w:marRight w:val="0"/>
          <w:marTop w:val="0"/>
          <w:marBottom w:val="0"/>
          <w:divBdr>
            <w:top w:val="none" w:sz="0" w:space="0" w:color="auto"/>
            <w:left w:val="none" w:sz="0" w:space="0" w:color="auto"/>
            <w:bottom w:val="none" w:sz="0" w:space="0" w:color="auto"/>
            <w:right w:val="none" w:sz="0" w:space="0" w:color="auto"/>
          </w:divBdr>
        </w:div>
        <w:div w:id="845286523">
          <w:marLeft w:val="0"/>
          <w:marRight w:val="0"/>
          <w:marTop w:val="0"/>
          <w:marBottom w:val="0"/>
          <w:divBdr>
            <w:top w:val="none" w:sz="0" w:space="0" w:color="auto"/>
            <w:left w:val="none" w:sz="0" w:space="0" w:color="auto"/>
            <w:bottom w:val="none" w:sz="0" w:space="0" w:color="auto"/>
            <w:right w:val="none" w:sz="0" w:space="0" w:color="auto"/>
          </w:divBdr>
        </w:div>
        <w:div w:id="1429961509">
          <w:marLeft w:val="0"/>
          <w:marRight w:val="0"/>
          <w:marTop w:val="0"/>
          <w:marBottom w:val="0"/>
          <w:divBdr>
            <w:top w:val="none" w:sz="0" w:space="0" w:color="auto"/>
            <w:left w:val="none" w:sz="0" w:space="0" w:color="auto"/>
            <w:bottom w:val="none" w:sz="0" w:space="0" w:color="auto"/>
            <w:right w:val="none" w:sz="0" w:space="0" w:color="auto"/>
          </w:divBdr>
        </w:div>
        <w:div w:id="1455950894">
          <w:marLeft w:val="0"/>
          <w:marRight w:val="0"/>
          <w:marTop w:val="0"/>
          <w:marBottom w:val="0"/>
          <w:divBdr>
            <w:top w:val="none" w:sz="0" w:space="0" w:color="auto"/>
            <w:left w:val="none" w:sz="0" w:space="0" w:color="auto"/>
            <w:bottom w:val="none" w:sz="0" w:space="0" w:color="auto"/>
            <w:right w:val="none" w:sz="0" w:space="0" w:color="auto"/>
          </w:divBdr>
        </w:div>
        <w:div w:id="1558281637">
          <w:marLeft w:val="0"/>
          <w:marRight w:val="0"/>
          <w:marTop w:val="0"/>
          <w:marBottom w:val="0"/>
          <w:divBdr>
            <w:top w:val="none" w:sz="0" w:space="0" w:color="auto"/>
            <w:left w:val="none" w:sz="0" w:space="0" w:color="auto"/>
            <w:bottom w:val="none" w:sz="0" w:space="0" w:color="auto"/>
            <w:right w:val="none" w:sz="0" w:space="0" w:color="auto"/>
          </w:divBdr>
        </w:div>
        <w:div w:id="1217164162">
          <w:marLeft w:val="0"/>
          <w:marRight w:val="0"/>
          <w:marTop w:val="0"/>
          <w:marBottom w:val="0"/>
          <w:divBdr>
            <w:top w:val="none" w:sz="0" w:space="0" w:color="auto"/>
            <w:left w:val="none" w:sz="0" w:space="0" w:color="auto"/>
            <w:bottom w:val="none" w:sz="0" w:space="0" w:color="auto"/>
            <w:right w:val="none" w:sz="0" w:space="0" w:color="auto"/>
          </w:divBdr>
        </w:div>
        <w:div w:id="1846167894">
          <w:marLeft w:val="0"/>
          <w:marRight w:val="0"/>
          <w:marTop w:val="0"/>
          <w:marBottom w:val="0"/>
          <w:divBdr>
            <w:top w:val="none" w:sz="0" w:space="0" w:color="auto"/>
            <w:left w:val="none" w:sz="0" w:space="0" w:color="auto"/>
            <w:bottom w:val="none" w:sz="0" w:space="0" w:color="auto"/>
            <w:right w:val="none" w:sz="0" w:space="0" w:color="auto"/>
          </w:divBdr>
        </w:div>
        <w:div w:id="340813112">
          <w:marLeft w:val="0"/>
          <w:marRight w:val="0"/>
          <w:marTop w:val="0"/>
          <w:marBottom w:val="0"/>
          <w:divBdr>
            <w:top w:val="none" w:sz="0" w:space="0" w:color="auto"/>
            <w:left w:val="none" w:sz="0" w:space="0" w:color="auto"/>
            <w:bottom w:val="none" w:sz="0" w:space="0" w:color="auto"/>
            <w:right w:val="none" w:sz="0" w:space="0" w:color="auto"/>
          </w:divBdr>
        </w:div>
        <w:div w:id="838693727">
          <w:marLeft w:val="0"/>
          <w:marRight w:val="0"/>
          <w:marTop w:val="0"/>
          <w:marBottom w:val="0"/>
          <w:divBdr>
            <w:top w:val="none" w:sz="0" w:space="0" w:color="auto"/>
            <w:left w:val="none" w:sz="0" w:space="0" w:color="auto"/>
            <w:bottom w:val="none" w:sz="0" w:space="0" w:color="auto"/>
            <w:right w:val="none" w:sz="0" w:space="0" w:color="auto"/>
          </w:divBdr>
        </w:div>
        <w:div w:id="933326103">
          <w:marLeft w:val="0"/>
          <w:marRight w:val="0"/>
          <w:marTop w:val="0"/>
          <w:marBottom w:val="0"/>
          <w:divBdr>
            <w:top w:val="none" w:sz="0" w:space="0" w:color="auto"/>
            <w:left w:val="none" w:sz="0" w:space="0" w:color="auto"/>
            <w:bottom w:val="none" w:sz="0" w:space="0" w:color="auto"/>
            <w:right w:val="none" w:sz="0" w:space="0" w:color="auto"/>
          </w:divBdr>
        </w:div>
        <w:div w:id="610169462">
          <w:marLeft w:val="0"/>
          <w:marRight w:val="0"/>
          <w:marTop w:val="0"/>
          <w:marBottom w:val="0"/>
          <w:divBdr>
            <w:top w:val="none" w:sz="0" w:space="0" w:color="auto"/>
            <w:left w:val="none" w:sz="0" w:space="0" w:color="auto"/>
            <w:bottom w:val="none" w:sz="0" w:space="0" w:color="auto"/>
            <w:right w:val="none" w:sz="0" w:space="0" w:color="auto"/>
          </w:divBdr>
        </w:div>
      </w:divsChild>
    </w:div>
    <w:div w:id="1304889935">
      <w:bodyDiv w:val="1"/>
      <w:marLeft w:val="0"/>
      <w:marRight w:val="0"/>
      <w:marTop w:val="0"/>
      <w:marBottom w:val="0"/>
      <w:divBdr>
        <w:top w:val="none" w:sz="0" w:space="0" w:color="auto"/>
        <w:left w:val="none" w:sz="0" w:space="0" w:color="auto"/>
        <w:bottom w:val="none" w:sz="0" w:space="0" w:color="auto"/>
        <w:right w:val="none" w:sz="0" w:space="0" w:color="auto"/>
      </w:divBdr>
    </w:div>
    <w:div w:id="1625770239">
      <w:bodyDiv w:val="1"/>
      <w:marLeft w:val="0"/>
      <w:marRight w:val="0"/>
      <w:marTop w:val="0"/>
      <w:marBottom w:val="0"/>
      <w:divBdr>
        <w:top w:val="none" w:sz="0" w:space="0" w:color="auto"/>
        <w:left w:val="none" w:sz="0" w:space="0" w:color="auto"/>
        <w:bottom w:val="none" w:sz="0" w:space="0" w:color="auto"/>
        <w:right w:val="none" w:sz="0" w:space="0" w:color="auto"/>
      </w:divBdr>
    </w:div>
    <w:div w:id="1811678137">
      <w:bodyDiv w:val="1"/>
      <w:marLeft w:val="0"/>
      <w:marRight w:val="0"/>
      <w:marTop w:val="0"/>
      <w:marBottom w:val="0"/>
      <w:divBdr>
        <w:top w:val="none" w:sz="0" w:space="0" w:color="auto"/>
        <w:left w:val="none" w:sz="0" w:space="0" w:color="auto"/>
        <w:bottom w:val="none" w:sz="0" w:space="0" w:color="auto"/>
        <w:right w:val="none" w:sz="0" w:space="0" w:color="auto"/>
      </w:divBdr>
      <w:divsChild>
        <w:div w:id="1003824765">
          <w:marLeft w:val="0"/>
          <w:marRight w:val="0"/>
          <w:marTop w:val="0"/>
          <w:marBottom w:val="0"/>
          <w:divBdr>
            <w:top w:val="none" w:sz="0" w:space="0" w:color="auto"/>
            <w:left w:val="none" w:sz="0" w:space="0" w:color="auto"/>
            <w:bottom w:val="none" w:sz="0" w:space="0" w:color="auto"/>
            <w:right w:val="none" w:sz="0" w:space="0" w:color="auto"/>
          </w:divBdr>
        </w:div>
        <w:div w:id="271666285">
          <w:marLeft w:val="0"/>
          <w:marRight w:val="0"/>
          <w:marTop w:val="0"/>
          <w:marBottom w:val="0"/>
          <w:divBdr>
            <w:top w:val="none" w:sz="0" w:space="0" w:color="auto"/>
            <w:left w:val="none" w:sz="0" w:space="0" w:color="auto"/>
            <w:bottom w:val="none" w:sz="0" w:space="0" w:color="auto"/>
            <w:right w:val="none" w:sz="0" w:space="0" w:color="auto"/>
          </w:divBdr>
        </w:div>
        <w:div w:id="531918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fa.gov.it/documents/20142/1811463/Manuale_antibiotici_AWaR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5976E-B31D-4057-A91E-C9F1FABFA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4921</Words>
  <Characters>28054</Characters>
  <Application>Microsoft Office Word</Application>
  <DocSecurity>0</DocSecurity>
  <Lines>233</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dc:creator>
  <cp:keywords/>
  <dc:description/>
  <cp:lastModifiedBy>Toso Claudia</cp:lastModifiedBy>
  <cp:revision>3</cp:revision>
  <dcterms:created xsi:type="dcterms:W3CDTF">2025-07-14T14:22:00Z</dcterms:created>
  <dcterms:modified xsi:type="dcterms:W3CDTF">2025-07-14T14:38:00Z</dcterms:modified>
</cp:coreProperties>
</file>