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DF" w:rsidRDefault="00F914DF" w:rsidP="003101EF">
      <w:pPr>
        <w:pStyle w:val="Default"/>
        <w:jc w:val="center"/>
        <w:rPr>
          <w:rFonts w:ascii="Verdana" w:hAnsi="Verdana" w:cs="Verdana"/>
          <w:b/>
          <w:bCs/>
          <w:sz w:val="23"/>
          <w:szCs w:val="23"/>
        </w:rPr>
      </w:pPr>
    </w:p>
    <w:p w:rsidR="00F914DF" w:rsidRDefault="00F914DF" w:rsidP="003101EF">
      <w:pPr>
        <w:pStyle w:val="Default"/>
        <w:jc w:val="center"/>
        <w:rPr>
          <w:rFonts w:ascii="Verdana" w:hAnsi="Verdana" w:cs="Verdana"/>
          <w:b/>
          <w:bCs/>
          <w:sz w:val="23"/>
          <w:szCs w:val="23"/>
        </w:rPr>
      </w:pPr>
    </w:p>
    <w:p w:rsidR="00BB5EE8" w:rsidRDefault="00191CD0" w:rsidP="003101EF">
      <w:pPr>
        <w:pStyle w:val="Default"/>
        <w:jc w:val="center"/>
        <w:rPr>
          <w:rFonts w:ascii="Verdana" w:hAnsi="Verdana" w:cs="Verdana"/>
          <w:b/>
          <w:bCs/>
          <w:sz w:val="22"/>
          <w:szCs w:val="22"/>
        </w:rPr>
      </w:pPr>
      <w:r>
        <w:rPr>
          <w:rFonts w:ascii="Verdana" w:hAnsi="Verdana" w:cs="Verdana"/>
          <w:b/>
          <w:bCs/>
          <w:sz w:val="23"/>
          <w:szCs w:val="23"/>
        </w:rPr>
        <w:t>Accordo integrativo aziendale</w:t>
      </w:r>
      <w:r w:rsidR="00CD2839">
        <w:rPr>
          <w:rFonts w:ascii="Verdana" w:hAnsi="Verdana" w:cs="Verdana"/>
          <w:b/>
          <w:bCs/>
          <w:sz w:val="23"/>
          <w:szCs w:val="23"/>
        </w:rPr>
        <w:t xml:space="preserve"> </w:t>
      </w:r>
      <w:r>
        <w:rPr>
          <w:rFonts w:ascii="Verdana" w:hAnsi="Verdana" w:cs="Verdana"/>
          <w:b/>
          <w:bCs/>
          <w:sz w:val="22"/>
          <w:szCs w:val="22"/>
        </w:rPr>
        <w:t>tra i Medici di Medicina</w:t>
      </w:r>
      <w:r w:rsidR="00BB5EE8">
        <w:rPr>
          <w:rFonts w:ascii="Verdana" w:hAnsi="Verdana" w:cs="Verdana"/>
          <w:b/>
          <w:bCs/>
          <w:i/>
          <w:iCs/>
          <w:sz w:val="23"/>
          <w:szCs w:val="23"/>
        </w:rPr>
        <w:t xml:space="preserve"> G</w:t>
      </w:r>
      <w:r>
        <w:rPr>
          <w:rFonts w:ascii="Verdana" w:hAnsi="Verdana" w:cs="Verdana"/>
          <w:b/>
          <w:bCs/>
          <w:i/>
          <w:iCs/>
          <w:sz w:val="23"/>
          <w:szCs w:val="23"/>
        </w:rPr>
        <w:t>enerale e la</w:t>
      </w:r>
      <w:r w:rsidR="00BB5EE8">
        <w:rPr>
          <w:rFonts w:ascii="Verdana" w:hAnsi="Verdana" w:cs="Verdana"/>
          <w:b/>
          <w:bCs/>
          <w:i/>
          <w:iCs/>
          <w:sz w:val="23"/>
          <w:szCs w:val="23"/>
        </w:rPr>
        <w:t xml:space="preserve"> ASL </w:t>
      </w:r>
      <w:r>
        <w:rPr>
          <w:rFonts w:ascii="Verdana" w:hAnsi="Verdana" w:cs="Verdana"/>
          <w:b/>
          <w:bCs/>
          <w:i/>
          <w:iCs/>
          <w:sz w:val="23"/>
          <w:szCs w:val="23"/>
        </w:rPr>
        <w:t>Milano</w:t>
      </w:r>
      <w:r w:rsidR="00BB5EE8">
        <w:rPr>
          <w:rFonts w:ascii="Verdana" w:hAnsi="Verdana" w:cs="Verdana"/>
          <w:b/>
          <w:bCs/>
          <w:i/>
          <w:iCs/>
          <w:sz w:val="23"/>
          <w:szCs w:val="23"/>
        </w:rPr>
        <w:t xml:space="preserve"> 2</w:t>
      </w:r>
      <w:r>
        <w:rPr>
          <w:rFonts w:ascii="Verdana" w:hAnsi="Verdana" w:cs="Verdana"/>
          <w:b/>
          <w:bCs/>
          <w:i/>
          <w:iCs/>
          <w:sz w:val="23"/>
          <w:szCs w:val="23"/>
        </w:rPr>
        <w:t xml:space="preserve">, </w:t>
      </w:r>
      <w:r w:rsidR="00BB5EE8">
        <w:rPr>
          <w:rFonts w:ascii="Verdana" w:hAnsi="Verdana" w:cs="Verdana"/>
          <w:b/>
          <w:bCs/>
          <w:sz w:val="22"/>
          <w:szCs w:val="22"/>
        </w:rPr>
        <w:t>per il miglioramento delle cure primarie ed il governo clinico</w:t>
      </w:r>
      <w:r>
        <w:rPr>
          <w:rFonts w:ascii="Verdana" w:hAnsi="Verdana" w:cs="Verdana"/>
          <w:b/>
          <w:bCs/>
          <w:sz w:val="22"/>
          <w:szCs w:val="22"/>
        </w:rPr>
        <w:t>.</w:t>
      </w:r>
    </w:p>
    <w:p w:rsidR="00F01C9D" w:rsidRDefault="00F01C9D" w:rsidP="003101EF">
      <w:pPr>
        <w:pStyle w:val="Default"/>
        <w:jc w:val="center"/>
        <w:rPr>
          <w:rFonts w:ascii="Verdana" w:hAnsi="Verdana" w:cs="Verdana"/>
          <w:b/>
          <w:bCs/>
          <w:sz w:val="22"/>
          <w:szCs w:val="22"/>
        </w:rPr>
      </w:pPr>
    </w:p>
    <w:p w:rsidR="00EB5C90" w:rsidRPr="00191CD0" w:rsidRDefault="00EB5C90" w:rsidP="00191CD0">
      <w:pPr>
        <w:pStyle w:val="Default"/>
        <w:spacing w:before="120"/>
        <w:jc w:val="center"/>
        <w:rPr>
          <w:caps/>
          <w:sz w:val="22"/>
          <w:szCs w:val="22"/>
        </w:rPr>
      </w:pPr>
      <w:r w:rsidRPr="00191CD0">
        <w:rPr>
          <w:rFonts w:ascii="Verdana" w:hAnsi="Verdana" w:cs="Verdana"/>
          <w:b/>
          <w:bCs/>
          <w:caps/>
          <w:sz w:val="22"/>
          <w:szCs w:val="22"/>
        </w:rPr>
        <w:t>Declinazione dei progetti aziendali 2014</w:t>
      </w:r>
    </w:p>
    <w:p w:rsidR="00BB5EE8" w:rsidRDefault="00BB5EE8" w:rsidP="00BB5EE8">
      <w:pPr>
        <w:autoSpaceDE w:val="0"/>
        <w:autoSpaceDN w:val="0"/>
        <w:adjustRightInd w:val="0"/>
        <w:spacing w:before="0" w:beforeAutospacing="0"/>
        <w:rPr>
          <w:rFonts w:cs="Calibri"/>
          <w:color w:val="000000"/>
          <w:sz w:val="24"/>
          <w:szCs w:val="24"/>
        </w:rPr>
      </w:pPr>
    </w:p>
    <w:p w:rsidR="00EB5C90" w:rsidRPr="00742C50" w:rsidRDefault="00191CD0" w:rsidP="00EB5C90">
      <w:pPr>
        <w:rPr>
          <w:rFonts w:ascii="Times New Roman" w:hAnsi="Times New Roman"/>
          <w:sz w:val="24"/>
          <w:szCs w:val="20"/>
        </w:rPr>
      </w:pPr>
      <w:r w:rsidRPr="00742C50">
        <w:rPr>
          <w:rFonts w:ascii="Times New Roman" w:hAnsi="Times New Roman"/>
          <w:sz w:val="24"/>
          <w:szCs w:val="20"/>
        </w:rPr>
        <w:t>L’Accordo integrativo aziendale tra i Medici di Medicina Generale e la ASL Milano 2, per il miglioramento delle cure primarie ed il governo clinico prevede che “i</w:t>
      </w:r>
      <w:r w:rsidR="00596A80">
        <w:rPr>
          <w:rFonts w:ascii="Times New Roman" w:hAnsi="Times New Roman"/>
          <w:sz w:val="24"/>
          <w:szCs w:val="20"/>
        </w:rPr>
        <w:t xml:space="preserve"> residui del fondo governo clinico</w:t>
      </w:r>
      <w:r w:rsidR="00EB5C90" w:rsidRPr="00742C50">
        <w:rPr>
          <w:rFonts w:ascii="Times New Roman" w:hAnsi="Times New Roman"/>
          <w:sz w:val="24"/>
          <w:szCs w:val="20"/>
        </w:rPr>
        <w:t xml:space="preserve"> saranno destinati a progettualità concordate, quali la campagna antiinfluenzale, la diagnostica ambulatoriale nello studio del </w:t>
      </w:r>
      <w:proofErr w:type="spellStart"/>
      <w:r w:rsidR="00EB5C90" w:rsidRPr="00742C50">
        <w:rPr>
          <w:rFonts w:ascii="Times New Roman" w:hAnsi="Times New Roman"/>
          <w:sz w:val="24"/>
          <w:szCs w:val="20"/>
        </w:rPr>
        <w:t>mmg</w:t>
      </w:r>
      <w:proofErr w:type="spellEnd"/>
      <w:r w:rsidR="00EB5C90" w:rsidRPr="00742C50">
        <w:rPr>
          <w:rFonts w:ascii="Times New Roman" w:hAnsi="Times New Roman"/>
          <w:sz w:val="24"/>
          <w:szCs w:val="20"/>
        </w:rPr>
        <w:t>, la presa in carico dei percorsi ADP, la semplificazione dell’accesso ai servizi e riduzione del  carico burocratico, attraverso l’implementazione dell’utilizzo della rete informatica da parte di assistiti, professionisti e operatori sociali e sanitari.</w:t>
      </w:r>
    </w:p>
    <w:p w:rsidR="007E4578" w:rsidRPr="00742C50" w:rsidRDefault="00191CD0" w:rsidP="00EB5C90">
      <w:pPr>
        <w:rPr>
          <w:rFonts w:ascii="Times New Roman" w:hAnsi="Times New Roman"/>
          <w:sz w:val="24"/>
          <w:szCs w:val="20"/>
        </w:rPr>
      </w:pPr>
      <w:r w:rsidRPr="00742C50">
        <w:rPr>
          <w:rFonts w:ascii="Times New Roman" w:hAnsi="Times New Roman"/>
          <w:sz w:val="24"/>
          <w:szCs w:val="20"/>
        </w:rPr>
        <w:t>Di seguito la declinazione delle singole progettualità:</w:t>
      </w:r>
    </w:p>
    <w:p w:rsidR="00742C50" w:rsidRPr="007E4578" w:rsidRDefault="00191CD0" w:rsidP="007E4578">
      <w:pPr>
        <w:pStyle w:val="Paragrafoelenco"/>
        <w:numPr>
          <w:ilvl w:val="0"/>
          <w:numId w:val="11"/>
        </w:numPr>
        <w:autoSpaceDE w:val="0"/>
        <w:autoSpaceDN w:val="0"/>
        <w:adjustRightInd w:val="0"/>
        <w:spacing w:before="120" w:beforeAutospacing="0"/>
        <w:ind w:left="714" w:hanging="357"/>
        <w:rPr>
          <w:rFonts w:ascii="Times New Roman" w:hAnsi="Times New Roman"/>
          <w:sz w:val="28"/>
          <w:szCs w:val="36"/>
        </w:rPr>
      </w:pPr>
      <w:r w:rsidRPr="007E4578">
        <w:rPr>
          <w:rFonts w:ascii="Times New Roman" w:hAnsi="Times New Roman"/>
          <w:b/>
          <w:sz w:val="28"/>
          <w:szCs w:val="36"/>
        </w:rPr>
        <w:t>Incremento della copertura vaccinale nei confron</w:t>
      </w:r>
      <w:r w:rsidR="00742C50" w:rsidRPr="007E4578">
        <w:rPr>
          <w:rFonts w:ascii="Times New Roman" w:hAnsi="Times New Roman"/>
          <w:b/>
          <w:sz w:val="28"/>
          <w:szCs w:val="36"/>
        </w:rPr>
        <w:t>ti dell’influenza</w:t>
      </w:r>
      <w:r w:rsidR="00742C50">
        <w:rPr>
          <w:rFonts w:ascii="Times New Roman" w:hAnsi="Times New Roman"/>
          <w:sz w:val="28"/>
          <w:szCs w:val="36"/>
        </w:rPr>
        <w:t xml:space="preserve"> “stagione 2014-2015</w:t>
      </w:r>
      <w:r w:rsidRPr="00742C50">
        <w:rPr>
          <w:rFonts w:ascii="Times New Roman" w:hAnsi="Times New Roman"/>
          <w:sz w:val="28"/>
          <w:szCs w:val="36"/>
        </w:rPr>
        <w:t>”</w:t>
      </w:r>
      <w:r w:rsidR="00742C50">
        <w:rPr>
          <w:rFonts w:ascii="Times New Roman" w:hAnsi="Times New Roman"/>
          <w:sz w:val="28"/>
          <w:szCs w:val="36"/>
        </w:rPr>
        <w:t xml:space="preserve">:  </w:t>
      </w:r>
      <w:r w:rsidR="00742C50" w:rsidRPr="00742C50">
        <w:rPr>
          <w:rFonts w:ascii="Times New Roman" w:hAnsi="Times New Roman"/>
          <w:szCs w:val="20"/>
        </w:rPr>
        <w:t>si rimanda a specifico progetto</w:t>
      </w:r>
      <w:r w:rsidR="00742C50">
        <w:rPr>
          <w:rFonts w:ascii="Times New Roman" w:hAnsi="Times New Roman"/>
          <w:szCs w:val="20"/>
        </w:rPr>
        <w:t>, che sarà definito sulla base di quello del 2013, entro la prima decade di settembre, a seguito delle indicazioni ministeriali e regionali.</w:t>
      </w:r>
    </w:p>
    <w:p w:rsidR="007E4578" w:rsidRPr="007E4578" w:rsidRDefault="007E4578" w:rsidP="007E4578">
      <w:pPr>
        <w:pStyle w:val="Paragrafoelenco"/>
        <w:autoSpaceDE w:val="0"/>
        <w:autoSpaceDN w:val="0"/>
        <w:adjustRightInd w:val="0"/>
        <w:spacing w:before="120" w:beforeAutospacing="0"/>
        <w:ind w:left="714"/>
        <w:rPr>
          <w:rFonts w:ascii="Times New Roman" w:hAnsi="Times New Roman"/>
          <w:sz w:val="24"/>
          <w:szCs w:val="36"/>
        </w:rPr>
      </w:pPr>
    </w:p>
    <w:p w:rsidR="00EB5C90" w:rsidRPr="00742C50" w:rsidRDefault="00EB5C90" w:rsidP="007E4578">
      <w:pPr>
        <w:pStyle w:val="Paragrafoelenco"/>
        <w:numPr>
          <w:ilvl w:val="0"/>
          <w:numId w:val="11"/>
        </w:numPr>
        <w:autoSpaceDE w:val="0"/>
        <w:autoSpaceDN w:val="0"/>
        <w:adjustRightInd w:val="0"/>
        <w:spacing w:before="120" w:beforeAutospacing="0"/>
        <w:ind w:left="714" w:hanging="357"/>
        <w:rPr>
          <w:rFonts w:ascii="Times New Roman" w:hAnsi="Times New Roman"/>
          <w:sz w:val="28"/>
          <w:szCs w:val="36"/>
        </w:rPr>
      </w:pPr>
      <w:r w:rsidRPr="00742C50">
        <w:rPr>
          <w:rFonts w:ascii="Times New Roman" w:hAnsi="Times New Roman"/>
          <w:b/>
          <w:sz w:val="28"/>
          <w:szCs w:val="20"/>
        </w:rPr>
        <w:t>Progetto diagnostica ambulatoriale presso lo studio del medico di famiglia</w:t>
      </w:r>
    </w:p>
    <w:p w:rsidR="00742C50" w:rsidRPr="00742C50" w:rsidRDefault="00742C50" w:rsidP="007E4578">
      <w:pPr>
        <w:spacing w:before="120" w:beforeAutospacing="0"/>
        <w:rPr>
          <w:rFonts w:ascii="Times New Roman" w:hAnsi="Times New Roman"/>
          <w:sz w:val="24"/>
          <w:szCs w:val="20"/>
        </w:rPr>
      </w:pPr>
      <w:r w:rsidRPr="00742C50">
        <w:rPr>
          <w:rFonts w:ascii="Times New Roman" w:hAnsi="Times New Roman"/>
          <w:sz w:val="24"/>
          <w:szCs w:val="20"/>
        </w:rPr>
        <w:t>Il progetto si colloca nell’ambito delle iniziative di governo clinico rivolte alla presa in carico del paziente cronico o in condizioni di fragilità, cui dare  risposta al bisogno di prestazioni di diagnostica ambulatoriale..</w:t>
      </w:r>
    </w:p>
    <w:p w:rsidR="00742C50" w:rsidRPr="00742C50" w:rsidRDefault="00742C50" w:rsidP="007E4578">
      <w:pPr>
        <w:spacing w:before="120" w:beforeAutospacing="0"/>
        <w:rPr>
          <w:rFonts w:ascii="Times New Roman" w:hAnsi="Times New Roman"/>
          <w:sz w:val="24"/>
          <w:szCs w:val="20"/>
        </w:rPr>
      </w:pPr>
      <w:r w:rsidRPr="00742C50">
        <w:rPr>
          <w:rFonts w:ascii="Times New Roman" w:hAnsi="Times New Roman"/>
          <w:sz w:val="24"/>
          <w:szCs w:val="20"/>
        </w:rPr>
        <w:t>In linea con le progettazioni degli anni precedenti, si conferma la sperimentazione rivolta in particolare a pazienti affetti da diabete, ipertensione arteriosa, BPCO, nonché al monitoraggio  della  terapia  anticoagulante  orale.</w:t>
      </w:r>
    </w:p>
    <w:p w:rsidR="00742C50" w:rsidRPr="00742C50" w:rsidRDefault="00742C50" w:rsidP="007E4578">
      <w:pPr>
        <w:spacing w:before="120" w:beforeAutospacing="0"/>
        <w:rPr>
          <w:rFonts w:ascii="Times New Roman" w:hAnsi="Times New Roman"/>
          <w:sz w:val="24"/>
          <w:szCs w:val="20"/>
        </w:rPr>
      </w:pPr>
      <w:r w:rsidRPr="00742C50">
        <w:rPr>
          <w:rFonts w:ascii="Times New Roman" w:hAnsi="Times New Roman"/>
          <w:sz w:val="24"/>
          <w:szCs w:val="20"/>
        </w:rPr>
        <w:t>A fronte della corresponsione di una quota a prestazione, in aggiunta alle competenze relative al governo clinico, il medico mette a disposizione oltre la prestazione anche gli strumenti adeguati e il materiale di consumo.</w:t>
      </w:r>
    </w:p>
    <w:p w:rsidR="00742C50" w:rsidRPr="00742C50" w:rsidRDefault="00742C50" w:rsidP="00742C50">
      <w:pPr>
        <w:numPr>
          <w:ilvl w:val="0"/>
          <w:numId w:val="10"/>
        </w:numPr>
        <w:ind w:left="426"/>
        <w:rPr>
          <w:rFonts w:ascii="Times New Roman" w:hAnsi="Times New Roman"/>
          <w:i/>
          <w:sz w:val="24"/>
          <w:szCs w:val="20"/>
        </w:rPr>
      </w:pPr>
      <w:r w:rsidRPr="00742C50">
        <w:rPr>
          <w:rFonts w:ascii="Times New Roman" w:hAnsi="Times New Roman"/>
          <w:i/>
          <w:sz w:val="24"/>
          <w:szCs w:val="20"/>
        </w:rPr>
        <w:t xml:space="preserve">Per la gestione ambulatoriale della terapia anticoagulante orale (TAO) nelle cure primarie possiamo ipotizzare una monetizzazione per strumenti e reagenti per coloro che eseguiranno l'esame TAO direttamente presso il proprio studio. Si prevede in media una determinazione ogni 20 </w:t>
      </w:r>
      <w:proofErr w:type="spellStart"/>
      <w:r w:rsidRPr="00742C50">
        <w:rPr>
          <w:rFonts w:ascii="Times New Roman" w:hAnsi="Times New Roman"/>
          <w:i/>
          <w:sz w:val="24"/>
          <w:szCs w:val="20"/>
        </w:rPr>
        <w:t>gg</w:t>
      </w:r>
      <w:proofErr w:type="spellEnd"/>
      <w:r w:rsidRPr="00742C50">
        <w:rPr>
          <w:rFonts w:ascii="Times New Roman" w:hAnsi="Times New Roman"/>
          <w:i/>
          <w:sz w:val="24"/>
          <w:szCs w:val="20"/>
        </w:rPr>
        <w:t>, per paziente in carico.</w:t>
      </w:r>
    </w:p>
    <w:p w:rsidR="00742C50" w:rsidRPr="00742C50" w:rsidRDefault="00742C50" w:rsidP="00742C50">
      <w:pPr>
        <w:numPr>
          <w:ilvl w:val="0"/>
          <w:numId w:val="10"/>
        </w:numPr>
        <w:ind w:left="426"/>
        <w:rPr>
          <w:rFonts w:ascii="Times New Roman" w:hAnsi="Times New Roman"/>
          <w:i/>
          <w:sz w:val="24"/>
          <w:szCs w:val="20"/>
        </w:rPr>
      </w:pPr>
      <w:r w:rsidRPr="00742C50">
        <w:rPr>
          <w:rFonts w:ascii="Times New Roman" w:hAnsi="Times New Roman"/>
          <w:i/>
          <w:sz w:val="24"/>
          <w:szCs w:val="20"/>
        </w:rPr>
        <w:t>Per la diagnostica ambulatoriale si prevede ancora l'impiego dello SPIROMETRO per i casi di BPCO ed ASMA.</w:t>
      </w:r>
    </w:p>
    <w:p w:rsidR="00742C50" w:rsidRPr="00742C50" w:rsidRDefault="00742C50" w:rsidP="00742C50">
      <w:pPr>
        <w:numPr>
          <w:ilvl w:val="0"/>
          <w:numId w:val="10"/>
        </w:numPr>
        <w:ind w:left="426"/>
        <w:rPr>
          <w:rFonts w:ascii="Times New Roman" w:hAnsi="Times New Roman"/>
          <w:i/>
          <w:sz w:val="24"/>
          <w:szCs w:val="20"/>
        </w:rPr>
      </w:pPr>
      <w:r w:rsidRPr="00742C50">
        <w:rPr>
          <w:rFonts w:ascii="Times New Roman" w:hAnsi="Times New Roman"/>
          <w:i/>
          <w:sz w:val="24"/>
          <w:szCs w:val="20"/>
        </w:rPr>
        <w:t>L'impiego dell'ECG e dell'ecografia di primo  livello per il monitoraggio dei pazienti diabetici. Infatti  il rischio cardiovascolare è molto alto in questi casi, per cui la determinazione dell'IMT ( per la stenosi carotidea ),dell’ECG e della valutazione dei grossi vasi addominali ha un razionale scientifico e prognostico. Nello stesso tempo, l'esecuzione dell'ecografia addominale di primo livello, addome superiore,nei pazienti diabetici, permette di valutare  il fegato e la milza;in tal modo si va a rilevare la presenza della steatosi  epatica  che nel 10% dei casi può evolvere in lesioni focali ed epatocarcinoma  (patologia emergente ).</w:t>
      </w:r>
    </w:p>
    <w:p w:rsidR="00742C50" w:rsidRPr="00742C50" w:rsidRDefault="00742C50" w:rsidP="00742C50">
      <w:pPr>
        <w:rPr>
          <w:rFonts w:ascii="Times New Roman" w:hAnsi="Times New Roman"/>
          <w:sz w:val="24"/>
          <w:szCs w:val="20"/>
        </w:rPr>
      </w:pPr>
      <w:r w:rsidRPr="00742C50">
        <w:rPr>
          <w:rFonts w:ascii="Times New Roman" w:hAnsi="Times New Roman"/>
          <w:sz w:val="24"/>
          <w:szCs w:val="20"/>
        </w:rPr>
        <w:lastRenderedPageBreak/>
        <w:t>Di seguito i</w:t>
      </w:r>
      <w:r w:rsidRPr="00742C50">
        <w:rPr>
          <w:rFonts w:ascii="Times New Roman" w:hAnsi="Times New Roman"/>
          <w:b/>
          <w:sz w:val="24"/>
          <w:szCs w:val="20"/>
        </w:rPr>
        <w:t xml:space="preserve"> corrispettivi</w:t>
      </w:r>
      <w:r w:rsidRPr="00742C50">
        <w:rPr>
          <w:rFonts w:ascii="Times New Roman" w:hAnsi="Times New Roman"/>
          <w:sz w:val="24"/>
          <w:szCs w:val="20"/>
        </w:rPr>
        <w:t xml:space="preserve"> delle singole prestazioni:</w:t>
      </w:r>
    </w:p>
    <w:p w:rsidR="00742C50" w:rsidRPr="00742C50" w:rsidRDefault="00742C50" w:rsidP="00742C50">
      <w:pPr>
        <w:spacing w:line="360" w:lineRule="auto"/>
        <w:rPr>
          <w:rFonts w:ascii="Times New Roman" w:hAnsi="Times New Roman"/>
          <w:sz w:val="24"/>
          <w:szCs w:val="20"/>
        </w:rPr>
      </w:pPr>
      <w:r w:rsidRPr="00742C50">
        <w:rPr>
          <w:rFonts w:ascii="Times New Roman" w:hAnsi="Times New Roman"/>
          <w:sz w:val="24"/>
          <w:szCs w:val="20"/>
        </w:rPr>
        <w:t xml:space="preserve">TAO: </w:t>
      </w:r>
      <w:r w:rsidRPr="00742C50">
        <w:rPr>
          <w:rFonts w:ascii="Times New Roman" w:hAnsi="Times New Roman"/>
          <w:sz w:val="24"/>
          <w:szCs w:val="20"/>
        </w:rPr>
        <w:tab/>
      </w:r>
      <w:r w:rsidRPr="00742C50">
        <w:rPr>
          <w:rFonts w:ascii="Times New Roman" w:hAnsi="Times New Roman"/>
          <w:sz w:val="24"/>
          <w:szCs w:val="20"/>
        </w:rPr>
        <w:tab/>
        <w:t>€ 12</w:t>
      </w:r>
      <w:r w:rsidRPr="00742C50">
        <w:rPr>
          <w:rFonts w:ascii="Times New Roman" w:hAnsi="Times New Roman"/>
          <w:sz w:val="24"/>
          <w:szCs w:val="20"/>
        </w:rPr>
        <w:br/>
      </w:r>
      <w:proofErr w:type="spellStart"/>
      <w:r w:rsidRPr="00742C50">
        <w:rPr>
          <w:rFonts w:ascii="Times New Roman" w:hAnsi="Times New Roman"/>
          <w:sz w:val="24"/>
          <w:szCs w:val="20"/>
        </w:rPr>
        <w:t>ecg</w:t>
      </w:r>
      <w:proofErr w:type="spellEnd"/>
      <w:r w:rsidR="00F01C9D">
        <w:rPr>
          <w:rFonts w:ascii="Times New Roman" w:hAnsi="Times New Roman"/>
          <w:sz w:val="24"/>
          <w:szCs w:val="20"/>
        </w:rPr>
        <w:t>:</w:t>
      </w:r>
      <w:r w:rsidRPr="00742C50">
        <w:rPr>
          <w:rFonts w:ascii="Times New Roman" w:hAnsi="Times New Roman"/>
          <w:sz w:val="24"/>
          <w:szCs w:val="20"/>
        </w:rPr>
        <w:t xml:space="preserve">   </w:t>
      </w:r>
      <w:r w:rsidRPr="00742C50">
        <w:rPr>
          <w:rFonts w:ascii="Times New Roman" w:hAnsi="Times New Roman"/>
          <w:sz w:val="24"/>
          <w:szCs w:val="20"/>
        </w:rPr>
        <w:tab/>
      </w:r>
      <w:r w:rsidRPr="00742C50">
        <w:rPr>
          <w:rFonts w:ascii="Times New Roman" w:hAnsi="Times New Roman"/>
          <w:sz w:val="24"/>
          <w:szCs w:val="20"/>
        </w:rPr>
        <w:tab/>
        <w:t>€ 15</w:t>
      </w:r>
      <w:r w:rsidRPr="00742C50">
        <w:rPr>
          <w:rFonts w:ascii="Times New Roman" w:hAnsi="Times New Roman"/>
          <w:sz w:val="24"/>
          <w:szCs w:val="20"/>
        </w:rPr>
        <w:br/>
        <w:t>spirometria</w:t>
      </w:r>
      <w:r w:rsidR="00F01C9D">
        <w:rPr>
          <w:rFonts w:ascii="Times New Roman" w:hAnsi="Times New Roman"/>
          <w:sz w:val="24"/>
          <w:szCs w:val="20"/>
        </w:rPr>
        <w:t>:</w:t>
      </w:r>
      <w:r w:rsidRPr="00742C50">
        <w:rPr>
          <w:rFonts w:ascii="Times New Roman" w:hAnsi="Times New Roman"/>
          <w:sz w:val="24"/>
          <w:szCs w:val="20"/>
        </w:rPr>
        <w:t xml:space="preserve">  </w:t>
      </w:r>
      <w:r w:rsidRPr="00742C50">
        <w:rPr>
          <w:rFonts w:ascii="Times New Roman" w:hAnsi="Times New Roman"/>
          <w:sz w:val="24"/>
          <w:szCs w:val="20"/>
        </w:rPr>
        <w:tab/>
        <w:t>€ 20</w:t>
      </w:r>
      <w:r w:rsidRPr="00742C50">
        <w:rPr>
          <w:rFonts w:ascii="Times New Roman" w:hAnsi="Times New Roman"/>
          <w:sz w:val="24"/>
          <w:szCs w:val="20"/>
        </w:rPr>
        <w:br/>
        <w:t>ecografia tronchi sovraortici</w:t>
      </w:r>
      <w:r w:rsidR="00F01C9D">
        <w:rPr>
          <w:rFonts w:ascii="Times New Roman" w:hAnsi="Times New Roman"/>
          <w:sz w:val="24"/>
          <w:szCs w:val="20"/>
        </w:rPr>
        <w:t>:</w:t>
      </w:r>
      <w:r w:rsidRPr="00742C50">
        <w:rPr>
          <w:rFonts w:ascii="Times New Roman" w:hAnsi="Times New Roman"/>
          <w:sz w:val="24"/>
          <w:szCs w:val="20"/>
        </w:rPr>
        <w:t xml:space="preserve">  € 30</w:t>
      </w:r>
      <w:r w:rsidRPr="00742C50">
        <w:rPr>
          <w:rFonts w:ascii="Times New Roman" w:hAnsi="Times New Roman"/>
          <w:sz w:val="24"/>
          <w:szCs w:val="20"/>
        </w:rPr>
        <w:br/>
        <w:t>ecografia addome superiore</w:t>
      </w:r>
      <w:r w:rsidR="00F01C9D">
        <w:rPr>
          <w:rFonts w:ascii="Times New Roman" w:hAnsi="Times New Roman"/>
          <w:sz w:val="24"/>
          <w:szCs w:val="20"/>
        </w:rPr>
        <w:t xml:space="preserve">:  </w:t>
      </w:r>
      <w:r w:rsidRPr="00742C50">
        <w:rPr>
          <w:rFonts w:ascii="Times New Roman" w:hAnsi="Times New Roman"/>
          <w:sz w:val="24"/>
          <w:szCs w:val="20"/>
        </w:rPr>
        <w:t xml:space="preserve"> € 30</w:t>
      </w:r>
    </w:p>
    <w:p w:rsidR="00742C50" w:rsidRPr="00742C50" w:rsidRDefault="00742C50" w:rsidP="00F01C9D">
      <w:pPr>
        <w:spacing w:before="120" w:beforeAutospacing="0"/>
        <w:rPr>
          <w:rFonts w:ascii="Times New Roman" w:hAnsi="Times New Roman"/>
          <w:sz w:val="24"/>
          <w:szCs w:val="20"/>
        </w:rPr>
      </w:pPr>
      <w:r w:rsidRPr="00742C50">
        <w:rPr>
          <w:rFonts w:ascii="Times New Roman" w:hAnsi="Times New Roman"/>
          <w:sz w:val="24"/>
          <w:szCs w:val="20"/>
        </w:rPr>
        <w:t>Tale progetto è riservato a coloro che  aderiscono all’accordo aziendale sul governo clinico  anno 2014.</w:t>
      </w:r>
    </w:p>
    <w:p w:rsidR="00742C50" w:rsidRDefault="00742C50" w:rsidP="00F01C9D">
      <w:pPr>
        <w:pStyle w:val="Paragrafoelenco"/>
        <w:numPr>
          <w:ilvl w:val="0"/>
          <w:numId w:val="11"/>
        </w:numPr>
        <w:autoSpaceDE w:val="0"/>
        <w:autoSpaceDN w:val="0"/>
        <w:adjustRightInd w:val="0"/>
        <w:spacing w:before="120" w:beforeAutospacing="0"/>
        <w:ind w:left="714" w:hanging="357"/>
        <w:rPr>
          <w:rFonts w:ascii="Times New Roman" w:hAnsi="Times New Roman"/>
          <w:b/>
          <w:sz w:val="28"/>
          <w:szCs w:val="20"/>
        </w:rPr>
      </w:pPr>
      <w:r w:rsidRPr="00742C50">
        <w:rPr>
          <w:rFonts w:ascii="Times New Roman" w:hAnsi="Times New Roman"/>
          <w:b/>
          <w:sz w:val="28"/>
          <w:szCs w:val="20"/>
        </w:rPr>
        <w:t>presa in carico dei percorsi ADP</w:t>
      </w:r>
    </w:p>
    <w:p w:rsidR="001D332C" w:rsidRPr="001D332C" w:rsidRDefault="001D332C" w:rsidP="001D332C">
      <w:pPr>
        <w:rPr>
          <w:rFonts w:ascii="Times New Roman" w:hAnsi="Times New Roman"/>
          <w:sz w:val="24"/>
          <w:szCs w:val="20"/>
        </w:rPr>
      </w:pPr>
      <w:r>
        <w:rPr>
          <w:rFonts w:ascii="Times New Roman" w:hAnsi="Times New Roman"/>
          <w:sz w:val="24"/>
          <w:szCs w:val="20"/>
        </w:rPr>
        <w:t>Dato atto dell’importanza di migliorare il sistema di accesso ed erogazione delle Cure primarie a livello distrettuale e degli studi dei medici, che faciliti i professionisti nella presa in carico e nell’accompagnamento dell’assistito nei percorsi di salute e malattia, in un contesto di appropriatezza, equità ed efficienza del sistema di offerta, si vuole valorizzare l’istituto dell’assistenza domiciliare programmata nella funzione di presa in carico del paziente fragile. Oltre alla conferma delle modalità di attivazione e rendicontazione semplificate</w:t>
      </w:r>
      <w:r w:rsidR="00E107C0">
        <w:rPr>
          <w:rFonts w:ascii="Times New Roman" w:hAnsi="Times New Roman"/>
          <w:sz w:val="24"/>
          <w:szCs w:val="20"/>
        </w:rPr>
        <w:t xml:space="preserve"> in essere e di cui al punto successivo, si chiede un momento di confronto a livello distrettuale con i medici </w:t>
      </w:r>
      <w:proofErr w:type="spellStart"/>
      <w:r w:rsidR="002E3F97">
        <w:rPr>
          <w:rFonts w:ascii="Times New Roman" w:hAnsi="Times New Roman"/>
          <w:sz w:val="24"/>
          <w:szCs w:val="20"/>
        </w:rPr>
        <w:t>autorizza</w:t>
      </w:r>
      <w:r w:rsidR="00E107C0">
        <w:rPr>
          <w:rFonts w:ascii="Times New Roman" w:hAnsi="Times New Roman"/>
          <w:sz w:val="24"/>
          <w:szCs w:val="20"/>
        </w:rPr>
        <w:t>tori</w:t>
      </w:r>
      <w:proofErr w:type="spellEnd"/>
      <w:r w:rsidR="00E107C0">
        <w:rPr>
          <w:rFonts w:ascii="Times New Roman" w:hAnsi="Times New Roman"/>
          <w:sz w:val="24"/>
          <w:szCs w:val="20"/>
        </w:rPr>
        <w:t>, al fine della valutazione complessiva degli esiti, sul singolo, ma soprattutto sul gruppo di as</w:t>
      </w:r>
      <w:r w:rsidR="008C2294">
        <w:rPr>
          <w:rFonts w:ascii="Times New Roman" w:hAnsi="Times New Roman"/>
          <w:sz w:val="24"/>
          <w:szCs w:val="20"/>
        </w:rPr>
        <w:t>sistiti presi in carico, che consenta d</w:t>
      </w:r>
      <w:r w:rsidR="00E107C0">
        <w:rPr>
          <w:rFonts w:ascii="Times New Roman" w:hAnsi="Times New Roman"/>
          <w:sz w:val="24"/>
          <w:szCs w:val="20"/>
        </w:rPr>
        <w:t>i valutare il servizio e porre in essere eventuali interventi correttivi.</w:t>
      </w:r>
    </w:p>
    <w:p w:rsidR="001D332C" w:rsidRDefault="001D332C" w:rsidP="001D332C">
      <w:pPr>
        <w:spacing w:before="120" w:beforeAutospacing="0" w:line="360" w:lineRule="auto"/>
        <w:rPr>
          <w:rFonts w:ascii="Times New Roman" w:hAnsi="Times New Roman"/>
          <w:sz w:val="24"/>
          <w:szCs w:val="20"/>
        </w:rPr>
      </w:pPr>
      <w:r w:rsidRPr="00596A80">
        <w:rPr>
          <w:rFonts w:ascii="Times New Roman" w:hAnsi="Times New Roman"/>
          <w:sz w:val="24"/>
          <w:szCs w:val="20"/>
        </w:rPr>
        <w:t>Indicatori e corrispettivi del progetto</w:t>
      </w:r>
      <w:r>
        <w:rPr>
          <w:rFonts w:ascii="Times New Roman" w:hAnsi="Times New Roman"/>
          <w:sz w:val="24"/>
          <w:szCs w:val="20"/>
        </w:rPr>
        <w:t>:</w:t>
      </w:r>
    </w:p>
    <w:p w:rsidR="00E107C0" w:rsidRDefault="002852AF" w:rsidP="001D332C">
      <w:pPr>
        <w:spacing w:before="120" w:beforeAutospacing="0" w:line="360" w:lineRule="auto"/>
        <w:rPr>
          <w:rFonts w:ascii="Times New Roman" w:hAnsi="Times New Roman"/>
          <w:sz w:val="24"/>
          <w:szCs w:val="20"/>
        </w:rPr>
      </w:pPr>
      <w:r>
        <w:rPr>
          <w:rFonts w:ascii="Times New Roman" w:hAnsi="Times New Roman"/>
          <w:sz w:val="24"/>
          <w:szCs w:val="20"/>
        </w:rPr>
        <w:t>Indicatore: verbale del confronto</w:t>
      </w:r>
    </w:p>
    <w:p w:rsidR="002852AF" w:rsidRPr="001D332C" w:rsidRDefault="002852AF" w:rsidP="000D5705">
      <w:pPr>
        <w:spacing w:before="0" w:beforeAutospacing="0"/>
        <w:rPr>
          <w:rFonts w:ascii="Times New Roman" w:hAnsi="Times New Roman"/>
          <w:sz w:val="24"/>
          <w:szCs w:val="20"/>
        </w:rPr>
      </w:pPr>
      <w:r>
        <w:rPr>
          <w:rFonts w:ascii="Times New Roman" w:hAnsi="Times New Roman"/>
          <w:sz w:val="24"/>
          <w:szCs w:val="20"/>
        </w:rPr>
        <w:t xml:space="preserve">Corrispettivo: </w:t>
      </w:r>
      <w:r w:rsidR="000D5705">
        <w:rPr>
          <w:rFonts w:ascii="Times New Roman" w:hAnsi="Times New Roman"/>
          <w:sz w:val="24"/>
          <w:szCs w:val="20"/>
        </w:rPr>
        <w:t>integrazione di € 1 per accesso, fino alla media accessi ASL, € 0,50 per gli accessi sopra la media.</w:t>
      </w:r>
    </w:p>
    <w:p w:rsidR="00742C50" w:rsidRPr="00742C50" w:rsidRDefault="00742C50" w:rsidP="00F01C9D">
      <w:pPr>
        <w:pStyle w:val="Paragrafoelenco"/>
        <w:numPr>
          <w:ilvl w:val="0"/>
          <w:numId w:val="11"/>
        </w:numPr>
        <w:autoSpaceDE w:val="0"/>
        <w:autoSpaceDN w:val="0"/>
        <w:adjustRightInd w:val="0"/>
        <w:spacing w:before="120" w:beforeAutospacing="0"/>
        <w:ind w:left="714" w:hanging="357"/>
        <w:rPr>
          <w:rFonts w:ascii="Times New Roman" w:hAnsi="Times New Roman"/>
          <w:b/>
          <w:sz w:val="28"/>
          <w:szCs w:val="20"/>
        </w:rPr>
      </w:pPr>
      <w:r w:rsidRPr="00742C50">
        <w:rPr>
          <w:rFonts w:ascii="Times New Roman" w:hAnsi="Times New Roman"/>
          <w:b/>
          <w:sz w:val="28"/>
          <w:szCs w:val="20"/>
        </w:rPr>
        <w:t>semplificazione dell’accesso ai servizi e riduzione del  carico burocratico</w:t>
      </w:r>
    </w:p>
    <w:p w:rsidR="00BC179D" w:rsidRDefault="00727913" w:rsidP="00727913">
      <w:pPr>
        <w:spacing w:before="120" w:beforeAutospacing="0"/>
        <w:rPr>
          <w:rFonts w:ascii="Times New Roman" w:hAnsi="Times New Roman"/>
          <w:sz w:val="24"/>
          <w:szCs w:val="20"/>
        </w:rPr>
      </w:pPr>
      <w:r w:rsidRPr="00727913">
        <w:rPr>
          <w:rFonts w:ascii="Times New Roman" w:hAnsi="Times New Roman"/>
          <w:sz w:val="24"/>
          <w:szCs w:val="20"/>
        </w:rPr>
        <w:t>Implementazione e manutenzione delle procedure e strumenti informatici sperimentati negli ultimi anni</w:t>
      </w:r>
      <w:r w:rsidR="0002476E">
        <w:rPr>
          <w:rFonts w:ascii="Times New Roman" w:hAnsi="Times New Roman"/>
          <w:sz w:val="24"/>
          <w:szCs w:val="20"/>
        </w:rPr>
        <w:t xml:space="preserve"> volti</w:t>
      </w:r>
      <w:r>
        <w:rPr>
          <w:rFonts w:ascii="Times New Roman" w:hAnsi="Times New Roman"/>
          <w:sz w:val="24"/>
          <w:szCs w:val="20"/>
        </w:rPr>
        <w:t xml:space="preserve"> alla semplificazione sia delle attivazioni di prestazioni, che della reportistica da e verso gli uffici ASL</w:t>
      </w:r>
      <w:r w:rsidR="0002476E">
        <w:rPr>
          <w:rFonts w:ascii="Times New Roman" w:hAnsi="Times New Roman"/>
          <w:sz w:val="24"/>
          <w:szCs w:val="20"/>
        </w:rPr>
        <w:t>, ad esempio:</w:t>
      </w:r>
    </w:p>
    <w:p w:rsidR="0002476E" w:rsidRDefault="0002476E" w:rsidP="0002476E">
      <w:pPr>
        <w:pStyle w:val="Paragrafoelenco"/>
        <w:numPr>
          <w:ilvl w:val="0"/>
          <w:numId w:val="10"/>
        </w:numPr>
        <w:spacing w:before="120" w:beforeAutospacing="0"/>
        <w:rPr>
          <w:rFonts w:ascii="Times New Roman" w:hAnsi="Times New Roman"/>
          <w:sz w:val="24"/>
          <w:szCs w:val="20"/>
        </w:rPr>
      </w:pPr>
      <w:r>
        <w:rPr>
          <w:rFonts w:ascii="Times New Roman" w:hAnsi="Times New Roman"/>
          <w:sz w:val="24"/>
          <w:szCs w:val="20"/>
        </w:rPr>
        <w:t xml:space="preserve">richiesta di attivazione da parte dei MMG per i propri assistiti di prestazioni e servizi(ADP, ADI, ausili di protesica maggiore e minore, …) via </w:t>
      </w:r>
      <w:proofErr w:type="spellStart"/>
      <w:r>
        <w:rPr>
          <w:rFonts w:ascii="Times New Roman" w:hAnsi="Times New Roman"/>
          <w:sz w:val="24"/>
          <w:szCs w:val="20"/>
        </w:rPr>
        <w:t>e_mail</w:t>
      </w:r>
      <w:proofErr w:type="spellEnd"/>
      <w:r>
        <w:rPr>
          <w:rFonts w:ascii="Times New Roman" w:hAnsi="Times New Roman"/>
          <w:sz w:val="24"/>
          <w:szCs w:val="20"/>
        </w:rPr>
        <w:t>;</w:t>
      </w:r>
    </w:p>
    <w:p w:rsidR="0002476E" w:rsidRDefault="0002476E" w:rsidP="0002476E">
      <w:pPr>
        <w:pStyle w:val="Paragrafoelenco"/>
        <w:numPr>
          <w:ilvl w:val="0"/>
          <w:numId w:val="10"/>
        </w:numPr>
        <w:spacing w:before="120" w:beforeAutospacing="0"/>
        <w:rPr>
          <w:rFonts w:ascii="Times New Roman" w:hAnsi="Times New Roman"/>
          <w:sz w:val="24"/>
          <w:szCs w:val="20"/>
        </w:rPr>
      </w:pPr>
      <w:r>
        <w:rPr>
          <w:rFonts w:ascii="Times New Roman" w:hAnsi="Times New Roman"/>
          <w:sz w:val="24"/>
          <w:szCs w:val="20"/>
        </w:rPr>
        <w:t>trasmissione di rendicontazione all’ASL di attività dei MMG attraverso il portale SDG;</w:t>
      </w:r>
    </w:p>
    <w:p w:rsidR="0002476E" w:rsidRDefault="0002476E" w:rsidP="0002476E">
      <w:pPr>
        <w:pStyle w:val="Paragrafoelenco"/>
        <w:numPr>
          <w:ilvl w:val="0"/>
          <w:numId w:val="10"/>
        </w:numPr>
        <w:spacing w:before="120" w:beforeAutospacing="0"/>
        <w:rPr>
          <w:rFonts w:ascii="Times New Roman" w:hAnsi="Times New Roman"/>
          <w:sz w:val="24"/>
          <w:szCs w:val="20"/>
        </w:rPr>
      </w:pPr>
      <w:r>
        <w:rPr>
          <w:rFonts w:ascii="Times New Roman" w:hAnsi="Times New Roman"/>
          <w:sz w:val="24"/>
          <w:szCs w:val="20"/>
        </w:rPr>
        <w:t>trasmissione dall’ASL ai singoli MMG di dati relativi all’appropriatezza prescrittiva attraverso il portale SDG;</w:t>
      </w:r>
    </w:p>
    <w:p w:rsidR="0002476E" w:rsidRPr="0002476E" w:rsidRDefault="0002476E" w:rsidP="0002476E">
      <w:pPr>
        <w:pStyle w:val="Paragrafoelenco"/>
        <w:numPr>
          <w:ilvl w:val="0"/>
          <w:numId w:val="10"/>
        </w:numPr>
        <w:spacing w:before="120" w:beforeAutospacing="0"/>
        <w:rPr>
          <w:rFonts w:ascii="Times New Roman" w:hAnsi="Times New Roman"/>
          <w:sz w:val="24"/>
          <w:szCs w:val="20"/>
        </w:rPr>
      </w:pPr>
      <w:r>
        <w:rPr>
          <w:rFonts w:ascii="Times New Roman" w:hAnsi="Times New Roman"/>
          <w:sz w:val="24"/>
          <w:szCs w:val="20"/>
        </w:rPr>
        <w:t xml:space="preserve">corretta configurazione della connessione mobile di accesso al </w:t>
      </w:r>
      <w:proofErr w:type="spellStart"/>
      <w:r>
        <w:rPr>
          <w:rFonts w:ascii="Times New Roman" w:hAnsi="Times New Roman"/>
          <w:sz w:val="24"/>
          <w:szCs w:val="20"/>
        </w:rPr>
        <w:t>siss</w:t>
      </w:r>
      <w:proofErr w:type="spellEnd"/>
      <w:r>
        <w:rPr>
          <w:rFonts w:ascii="Times New Roman" w:hAnsi="Times New Roman"/>
          <w:sz w:val="24"/>
          <w:szCs w:val="20"/>
        </w:rPr>
        <w:t>.</w:t>
      </w:r>
    </w:p>
    <w:p w:rsidR="00AE1AE3" w:rsidRDefault="00596A80" w:rsidP="00F01C9D">
      <w:pPr>
        <w:spacing w:before="120" w:beforeAutospacing="0" w:line="360" w:lineRule="auto"/>
        <w:rPr>
          <w:rFonts w:ascii="Times New Roman" w:hAnsi="Times New Roman"/>
          <w:sz w:val="24"/>
          <w:szCs w:val="20"/>
        </w:rPr>
      </w:pPr>
      <w:r w:rsidRPr="00596A80">
        <w:rPr>
          <w:rFonts w:ascii="Times New Roman" w:hAnsi="Times New Roman"/>
          <w:sz w:val="24"/>
          <w:szCs w:val="20"/>
        </w:rPr>
        <w:t>Indicatori e corrispettivi del progetto</w:t>
      </w:r>
      <w:r w:rsidR="00F01C9D">
        <w:rPr>
          <w:rFonts w:ascii="Times New Roman" w:hAnsi="Times New Roman"/>
          <w:sz w:val="24"/>
          <w:szCs w:val="20"/>
        </w:rPr>
        <w:t>:</w:t>
      </w:r>
    </w:p>
    <w:p w:rsidR="00F01C9D" w:rsidRDefault="00F01C9D" w:rsidP="00F01C9D">
      <w:pPr>
        <w:spacing w:before="120" w:beforeAutospacing="0"/>
      </w:pPr>
      <w:r>
        <w:rPr>
          <w:rFonts w:ascii="Times New Roman" w:hAnsi="Times New Roman"/>
          <w:sz w:val="24"/>
          <w:szCs w:val="20"/>
        </w:rPr>
        <w:t xml:space="preserve">La quota annua di € 180, sarà corrisposta a chi avrà </w:t>
      </w:r>
      <w:r w:rsidRPr="00F01C9D">
        <w:rPr>
          <w:rFonts w:ascii="Times New Roman" w:hAnsi="Times New Roman"/>
          <w:sz w:val="24"/>
          <w:szCs w:val="20"/>
        </w:rPr>
        <w:t xml:space="preserve">utilizzato il SISS per almeno il 70% delle prescrizioni complessive, come rilevabile dal cruscotto </w:t>
      </w:r>
      <w:proofErr w:type="spellStart"/>
      <w:r w:rsidRPr="00F01C9D">
        <w:rPr>
          <w:rFonts w:ascii="Times New Roman" w:hAnsi="Times New Roman"/>
          <w:sz w:val="24"/>
          <w:szCs w:val="20"/>
        </w:rPr>
        <w:t>siss</w:t>
      </w:r>
      <w:proofErr w:type="spellEnd"/>
      <w:r w:rsidRPr="00F01C9D">
        <w:rPr>
          <w:rFonts w:ascii="Times New Roman" w:hAnsi="Times New Roman"/>
          <w:sz w:val="24"/>
          <w:szCs w:val="20"/>
        </w:rPr>
        <w:t>.</w:t>
      </w:r>
    </w:p>
    <w:p w:rsidR="00F01C9D" w:rsidRPr="00596A80" w:rsidRDefault="00F01C9D" w:rsidP="00596A80">
      <w:pPr>
        <w:spacing w:line="360" w:lineRule="auto"/>
        <w:rPr>
          <w:rFonts w:ascii="Times New Roman" w:hAnsi="Times New Roman"/>
          <w:sz w:val="24"/>
          <w:szCs w:val="20"/>
        </w:rPr>
      </w:pPr>
    </w:p>
    <w:sectPr w:rsidR="00F01C9D" w:rsidRPr="00596A80" w:rsidSect="00EB5C9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29" w:rsidRDefault="00230F29" w:rsidP="008A5ECE">
      <w:pPr>
        <w:spacing w:before="0"/>
      </w:pPr>
      <w:r>
        <w:separator/>
      </w:r>
    </w:p>
  </w:endnote>
  <w:endnote w:type="continuationSeparator" w:id="0">
    <w:p w:rsidR="00230F29" w:rsidRDefault="00230F29" w:rsidP="008A5EC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44" w:rsidRDefault="00733F4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3423"/>
      <w:docPartObj>
        <w:docPartGallery w:val="Page Numbers (Bottom of Page)"/>
        <w:docPartUnique/>
      </w:docPartObj>
    </w:sdtPr>
    <w:sdtContent>
      <w:p w:rsidR="002E3F97" w:rsidRDefault="00CF1F91">
        <w:pPr>
          <w:pStyle w:val="Pidipagina"/>
          <w:jc w:val="right"/>
        </w:pPr>
        <w:fldSimple w:instr=" PAGE   \* MERGEFORMAT ">
          <w:r w:rsidR="00733F44">
            <w:rPr>
              <w:noProof/>
            </w:rPr>
            <w:t>2</w:t>
          </w:r>
        </w:fldSimple>
      </w:p>
    </w:sdtContent>
  </w:sdt>
  <w:p w:rsidR="002E3F97" w:rsidRDefault="002E3F9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3422"/>
      <w:docPartObj>
        <w:docPartGallery w:val="Page Numbers (Bottom of Page)"/>
        <w:docPartUnique/>
      </w:docPartObj>
    </w:sdtPr>
    <w:sdtContent>
      <w:p w:rsidR="002E3F97" w:rsidRDefault="00CF1F91">
        <w:pPr>
          <w:pStyle w:val="Pidipagina"/>
          <w:jc w:val="right"/>
        </w:pPr>
        <w:fldSimple w:instr=" PAGE   \* MERGEFORMAT ">
          <w:r w:rsidR="00733F44">
            <w:rPr>
              <w:noProof/>
            </w:rPr>
            <w:t>1</w:t>
          </w:r>
        </w:fldSimple>
      </w:p>
    </w:sdtContent>
  </w:sdt>
  <w:p w:rsidR="002E3F97" w:rsidRDefault="002E3F9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29" w:rsidRDefault="00230F29" w:rsidP="008A5ECE">
      <w:pPr>
        <w:spacing w:before="0"/>
      </w:pPr>
      <w:r>
        <w:separator/>
      </w:r>
    </w:p>
  </w:footnote>
  <w:footnote w:type="continuationSeparator" w:id="0">
    <w:p w:rsidR="00230F29" w:rsidRDefault="00230F29" w:rsidP="008A5EC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44" w:rsidRDefault="00733F4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CE" w:rsidRDefault="008A5ECE" w:rsidP="008A5ECE">
    <w:pPr>
      <w:pStyle w:val="Intestazione"/>
      <w:jc w:val="center"/>
      <w:rPr>
        <w:rFonts w:ascii="Garamond" w:hAnsi="Garamond"/>
        <w:color w:val="5F5F5F"/>
        <w:sz w:val="26"/>
      </w:rPr>
    </w:pPr>
    <w:r>
      <w:rPr>
        <w:rFonts w:ascii="Garamond" w:hAnsi="Garamond"/>
        <w:color w:val="5F5F5F"/>
        <w:sz w:val="26"/>
      </w:rPr>
      <w:t>Regione Lombardia – ASL Milano 2</w:t>
    </w:r>
  </w:p>
  <w:p w:rsidR="008A5ECE" w:rsidRDefault="008A5EC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D0" w:rsidRDefault="00733F44" w:rsidP="00191CD0">
    <w:pPr>
      <w:pStyle w:val="Intestazione"/>
      <w:jc w:val="center"/>
    </w:pPr>
    <w:sdt>
      <w:sdtPr>
        <w:id w:val="14737832"/>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9395"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191CD0" w:rsidRPr="00191CD0">
      <w:rPr>
        <w:noProof/>
        <w:lang w:eastAsia="it-IT"/>
      </w:rPr>
      <w:drawing>
        <wp:inline distT="0" distB="0" distL="0" distR="0">
          <wp:extent cx="1800225" cy="876300"/>
          <wp:effectExtent l="19050" t="0" r="9525" b="0"/>
          <wp:docPr id="2" name="Immagine 1" descr="ASL milano 2 -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L milano 2 - rid"/>
                  <pic:cNvPicPr>
                    <a:picLocks noChangeAspect="1" noChangeArrowheads="1"/>
                  </pic:cNvPicPr>
                </pic:nvPicPr>
                <pic:blipFill>
                  <a:blip r:embed="rId1"/>
                  <a:srcRect/>
                  <a:stretch>
                    <a:fillRect/>
                  </a:stretch>
                </pic:blipFill>
                <pic:spPr bwMode="auto">
                  <a:xfrm>
                    <a:off x="0" y="0"/>
                    <a:ext cx="1800225" cy="876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894EE87C"/>
    <w:lvl w:ilvl="0">
      <w:start w:val="1"/>
      <w:numFmt w:val="decimal"/>
      <w:lvlText w:val="%1."/>
      <w:lvlJc w:val="left"/>
      <w:pPr>
        <w:tabs>
          <w:tab w:val="num" w:pos="380"/>
        </w:tabs>
        <w:ind w:left="3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10"/>
    <w:multiLevelType w:val="multilevel"/>
    <w:tmpl w:val="894EE882"/>
    <w:lvl w:ilvl="0">
      <w:start w:val="1"/>
      <w:numFmt w:val="bullet"/>
      <w:lvlText w:val="•"/>
      <w:lvlJc w:val="left"/>
      <w:pPr>
        <w:tabs>
          <w:tab w:val="num" w:pos="310"/>
        </w:tabs>
        <w:ind w:left="310" w:firstLine="709"/>
      </w:pPr>
      <w:rPr>
        <w:rFonts w:hint="default"/>
        <w:position w:val="0"/>
      </w:rPr>
    </w:lvl>
    <w:lvl w:ilvl="1">
      <w:start w:val="1"/>
      <w:numFmt w:val="bullet"/>
      <w:lvlText w:val="%2."/>
      <w:lvlJc w:val="left"/>
      <w:pPr>
        <w:tabs>
          <w:tab w:val="num" w:pos="360"/>
        </w:tabs>
        <w:ind w:left="360" w:firstLine="1080"/>
      </w:pPr>
      <w:rPr>
        <w:rFonts w:hint="default"/>
        <w:position w:val="0"/>
      </w:rPr>
    </w:lvl>
    <w:lvl w:ilvl="2">
      <w:start w:val="1"/>
      <w:numFmt w:val="bullet"/>
      <w:lvlText w:val="%3."/>
      <w:lvlJc w:val="left"/>
      <w:pPr>
        <w:tabs>
          <w:tab w:val="num" w:pos="296"/>
        </w:tabs>
        <w:ind w:left="296" w:firstLine="1864"/>
      </w:pPr>
      <w:rPr>
        <w:rFonts w:hint="default"/>
        <w:position w:val="0"/>
      </w:rPr>
    </w:lvl>
    <w:lvl w:ilvl="3">
      <w:start w:val="1"/>
      <w:numFmt w:val="bullet"/>
      <w:lvlText w:val="%4."/>
      <w:lvlJc w:val="left"/>
      <w:pPr>
        <w:tabs>
          <w:tab w:val="num" w:pos="360"/>
        </w:tabs>
        <w:ind w:left="360" w:firstLine="2520"/>
      </w:pPr>
      <w:rPr>
        <w:rFonts w:hint="default"/>
        <w:position w:val="0"/>
      </w:rPr>
    </w:lvl>
    <w:lvl w:ilvl="4">
      <w:start w:val="1"/>
      <w:numFmt w:val="bullet"/>
      <w:lvlText w:val="%5."/>
      <w:lvlJc w:val="left"/>
      <w:pPr>
        <w:tabs>
          <w:tab w:val="num" w:pos="360"/>
        </w:tabs>
        <w:ind w:left="360" w:firstLine="3240"/>
      </w:pPr>
      <w:rPr>
        <w:rFonts w:hint="default"/>
        <w:position w:val="0"/>
      </w:rPr>
    </w:lvl>
    <w:lvl w:ilvl="5">
      <w:start w:val="1"/>
      <w:numFmt w:val="bullet"/>
      <w:lvlText w:val="%6."/>
      <w:lvlJc w:val="left"/>
      <w:pPr>
        <w:tabs>
          <w:tab w:val="num" w:pos="296"/>
        </w:tabs>
        <w:ind w:left="296" w:firstLine="4024"/>
      </w:pPr>
      <w:rPr>
        <w:rFonts w:hint="default"/>
        <w:position w:val="0"/>
      </w:rPr>
    </w:lvl>
    <w:lvl w:ilvl="6">
      <w:start w:val="1"/>
      <w:numFmt w:val="bullet"/>
      <w:lvlText w:val="%7."/>
      <w:lvlJc w:val="left"/>
      <w:pPr>
        <w:tabs>
          <w:tab w:val="num" w:pos="360"/>
        </w:tabs>
        <w:ind w:left="360" w:firstLine="4680"/>
      </w:pPr>
      <w:rPr>
        <w:rFonts w:hint="default"/>
        <w:position w:val="0"/>
      </w:rPr>
    </w:lvl>
    <w:lvl w:ilvl="7">
      <w:start w:val="1"/>
      <w:numFmt w:val="bullet"/>
      <w:lvlText w:val="%8."/>
      <w:lvlJc w:val="left"/>
      <w:pPr>
        <w:tabs>
          <w:tab w:val="num" w:pos="360"/>
        </w:tabs>
        <w:ind w:left="360" w:firstLine="5400"/>
      </w:pPr>
      <w:rPr>
        <w:rFonts w:hint="default"/>
        <w:position w:val="0"/>
      </w:rPr>
    </w:lvl>
    <w:lvl w:ilvl="8">
      <w:start w:val="1"/>
      <w:numFmt w:val="bullet"/>
      <w:lvlText w:val="%9."/>
      <w:lvlJc w:val="left"/>
      <w:pPr>
        <w:tabs>
          <w:tab w:val="num" w:pos="296"/>
        </w:tabs>
        <w:ind w:left="296" w:firstLine="6184"/>
      </w:pPr>
      <w:rPr>
        <w:rFonts w:hint="default"/>
        <w:position w:val="0"/>
      </w:rPr>
    </w:lvl>
  </w:abstractNum>
  <w:abstractNum w:abstractNumId="3">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04CF1"/>
    <w:multiLevelType w:val="hybridMultilevel"/>
    <w:tmpl w:val="0DBAF538"/>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9295310"/>
    <w:multiLevelType w:val="hybridMultilevel"/>
    <w:tmpl w:val="CA385CD8"/>
    <w:lvl w:ilvl="0" w:tplc="912CAF7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4016E8"/>
    <w:multiLevelType w:val="hybridMultilevel"/>
    <w:tmpl w:val="09205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483153"/>
    <w:multiLevelType w:val="hybridMultilevel"/>
    <w:tmpl w:val="017416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B3B0C00"/>
    <w:multiLevelType w:val="hybridMultilevel"/>
    <w:tmpl w:val="CC7EB0EA"/>
    <w:lvl w:ilvl="0" w:tplc="912CAF7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F36A41"/>
    <w:multiLevelType w:val="hybridMultilevel"/>
    <w:tmpl w:val="3250A108"/>
    <w:lvl w:ilvl="0" w:tplc="44D050DA">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62A06D27"/>
    <w:multiLevelType w:val="hybridMultilevel"/>
    <w:tmpl w:val="017416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0C1621"/>
    <w:multiLevelType w:val="hybridMultilevel"/>
    <w:tmpl w:val="A4BAF3A4"/>
    <w:lvl w:ilvl="0" w:tplc="103AEB1E">
      <w:start w:val="10"/>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11"/>
  </w:num>
  <w:num w:numId="7">
    <w:abstractNumId w:val="4"/>
  </w:num>
  <w:num w:numId="8">
    <w:abstractNumId w:val="6"/>
  </w:num>
  <w:num w:numId="9">
    <w:abstractNumId w:val="5"/>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59396"/>
    <o:shapelayout v:ext="edit">
      <o:idmap v:ext="edit" data="58"/>
    </o:shapelayout>
  </w:hdrShapeDefaults>
  <w:footnotePr>
    <w:footnote w:id="-1"/>
    <w:footnote w:id="0"/>
  </w:footnotePr>
  <w:endnotePr>
    <w:endnote w:id="-1"/>
    <w:endnote w:id="0"/>
  </w:endnotePr>
  <w:compat/>
  <w:rsids>
    <w:rsidRoot w:val="00BB5EE8"/>
    <w:rsid w:val="0002476E"/>
    <w:rsid w:val="00040098"/>
    <w:rsid w:val="00052AB2"/>
    <w:rsid w:val="000865FE"/>
    <w:rsid w:val="000D5705"/>
    <w:rsid w:val="000E2904"/>
    <w:rsid w:val="001153FD"/>
    <w:rsid w:val="00147ABA"/>
    <w:rsid w:val="00177520"/>
    <w:rsid w:val="00180ACC"/>
    <w:rsid w:val="00191CD0"/>
    <w:rsid w:val="001A6B43"/>
    <w:rsid w:val="001B35DC"/>
    <w:rsid w:val="001B469F"/>
    <w:rsid w:val="001C557D"/>
    <w:rsid w:val="001D332C"/>
    <w:rsid w:val="001F3EC4"/>
    <w:rsid w:val="00215A45"/>
    <w:rsid w:val="00230F29"/>
    <w:rsid w:val="00237216"/>
    <w:rsid w:val="002452E7"/>
    <w:rsid w:val="00257CA1"/>
    <w:rsid w:val="002616F6"/>
    <w:rsid w:val="00267AB6"/>
    <w:rsid w:val="002852AF"/>
    <w:rsid w:val="002B3018"/>
    <w:rsid w:val="002E3F97"/>
    <w:rsid w:val="003101EF"/>
    <w:rsid w:val="00367D83"/>
    <w:rsid w:val="003721E8"/>
    <w:rsid w:val="003B4C0B"/>
    <w:rsid w:val="003C5192"/>
    <w:rsid w:val="003E669D"/>
    <w:rsid w:val="003F6D6B"/>
    <w:rsid w:val="00404DB7"/>
    <w:rsid w:val="00427789"/>
    <w:rsid w:val="0043261F"/>
    <w:rsid w:val="0044744C"/>
    <w:rsid w:val="00492340"/>
    <w:rsid w:val="004A53FC"/>
    <w:rsid w:val="004C6713"/>
    <w:rsid w:val="004E6E88"/>
    <w:rsid w:val="00520D61"/>
    <w:rsid w:val="00555F53"/>
    <w:rsid w:val="005834DB"/>
    <w:rsid w:val="00585E9D"/>
    <w:rsid w:val="005862C4"/>
    <w:rsid w:val="00596A80"/>
    <w:rsid w:val="005A32A1"/>
    <w:rsid w:val="005F2FED"/>
    <w:rsid w:val="005F7E33"/>
    <w:rsid w:val="00643D95"/>
    <w:rsid w:val="006C38B7"/>
    <w:rsid w:val="00727913"/>
    <w:rsid w:val="00732A82"/>
    <w:rsid w:val="00733F44"/>
    <w:rsid w:val="0073473A"/>
    <w:rsid w:val="00734AB7"/>
    <w:rsid w:val="00742C50"/>
    <w:rsid w:val="0078058B"/>
    <w:rsid w:val="007D4FCB"/>
    <w:rsid w:val="007E4578"/>
    <w:rsid w:val="007F4AC8"/>
    <w:rsid w:val="00820638"/>
    <w:rsid w:val="0082690F"/>
    <w:rsid w:val="008274C0"/>
    <w:rsid w:val="008939B7"/>
    <w:rsid w:val="008A5ECE"/>
    <w:rsid w:val="008B3DEC"/>
    <w:rsid w:val="008B527A"/>
    <w:rsid w:val="008C2294"/>
    <w:rsid w:val="00900E02"/>
    <w:rsid w:val="00917DF2"/>
    <w:rsid w:val="00933C5A"/>
    <w:rsid w:val="00961C12"/>
    <w:rsid w:val="00973327"/>
    <w:rsid w:val="00A07D33"/>
    <w:rsid w:val="00A35B6C"/>
    <w:rsid w:val="00A80DFE"/>
    <w:rsid w:val="00A867A1"/>
    <w:rsid w:val="00AB3D05"/>
    <w:rsid w:val="00AB782E"/>
    <w:rsid w:val="00AE1AE3"/>
    <w:rsid w:val="00AF3E3D"/>
    <w:rsid w:val="00B339A8"/>
    <w:rsid w:val="00B36B13"/>
    <w:rsid w:val="00B51F84"/>
    <w:rsid w:val="00B96D61"/>
    <w:rsid w:val="00BB5EE8"/>
    <w:rsid w:val="00BC179D"/>
    <w:rsid w:val="00BE0BB5"/>
    <w:rsid w:val="00C068E8"/>
    <w:rsid w:val="00C132D3"/>
    <w:rsid w:val="00C41FF4"/>
    <w:rsid w:val="00C5795C"/>
    <w:rsid w:val="00C649EB"/>
    <w:rsid w:val="00C737C3"/>
    <w:rsid w:val="00CA7593"/>
    <w:rsid w:val="00CB62B1"/>
    <w:rsid w:val="00CD0F6F"/>
    <w:rsid w:val="00CD2839"/>
    <w:rsid w:val="00CD5A4F"/>
    <w:rsid w:val="00CF1F91"/>
    <w:rsid w:val="00D20A5D"/>
    <w:rsid w:val="00D2213B"/>
    <w:rsid w:val="00D37F83"/>
    <w:rsid w:val="00D80A42"/>
    <w:rsid w:val="00D86A45"/>
    <w:rsid w:val="00D9157A"/>
    <w:rsid w:val="00DA18A5"/>
    <w:rsid w:val="00DA2FF0"/>
    <w:rsid w:val="00DC2C97"/>
    <w:rsid w:val="00DE0577"/>
    <w:rsid w:val="00E107C0"/>
    <w:rsid w:val="00E277FD"/>
    <w:rsid w:val="00E31786"/>
    <w:rsid w:val="00E369A6"/>
    <w:rsid w:val="00E5098C"/>
    <w:rsid w:val="00E52F58"/>
    <w:rsid w:val="00E53CE3"/>
    <w:rsid w:val="00E6014F"/>
    <w:rsid w:val="00E75FA3"/>
    <w:rsid w:val="00E81F14"/>
    <w:rsid w:val="00EB5C90"/>
    <w:rsid w:val="00F01C9D"/>
    <w:rsid w:val="00F13257"/>
    <w:rsid w:val="00F22D8D"/>
    <w:rsid w:val="00F27668"/>
    <w:rsid w:val="00F3007B"/>
    <w:rsid w:val="00F51A69"/>
    <w:rsid w:val="00F54250"/>
    <w:rsid w:val="00F7289D"/>
    <w:rsid w:val="00F914DF"/>
    <w:rsid w:val="00F91A73"/>
    <w:rsid w:val="00FA2675"/>
    <w:rsid w:val="00FA3282"/>
    <w:rsid w:val="00FB6CE2"/>
    <w:rsid w:val="00FF52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1A73"/>
    <w:pPr>
      <w:spacing w:before="100" w:beforeAutospacing="1"/>
    </w:pPr>
    <w:rPr>
      <w:sz w:val="22"/>
      <w:szCs w:val="22"/>
      <w:lang w:eastAsia="en-US"/>
    </w:rPr>
  </w:style>
  <w:style w:type="paragraph" w:styleId="Titolo2">
    <w:name w:val="heading 2"/>
    <w:basedOn w:val="Normale"/>
    <w:next w:val="Normale"/>
    <w:link w:val="Titolo2Carattere"/>
    <w:qFormat/>
    <w:rsid w:val="00AE1AE3"/>
    <w:pPr>
      <w:keepNext/>
      <w:spacing w:before="0" w:beforeAutospacing="0"/>
      <w:jc w:val="both"/>
      <w:outlineLvl w:val="1"/>
    </w:pPr>
    <w:rPr>
      <w:rFonts w:ascii="Arial" w:eastAsia="Times New Roman" w:hAnsi="Arial" w:cs="Arial"/>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B5EE8"/>
    <w:pPr>
      <w:autoSpaceDE w:val="0"/>
      <w:autoSpaceDN w:val="0"/>
      <w:adjustRightInd w:val="0"/>
    </w:pPr>
    <w:rPr>
      <w:rFonts w:ascii="Times New Roman" w:hAnsi="Times New Roman"/>
      <w:color w:val="000000"/>
      <w:sz w:val="24"/>
      <w:szCs w:val="24"/>
      <w:lang w:eastAsia="en-US"/>
    </w:rPr>
  </w:style>
  <w:style w:type="paragraph" w:customStyle="1" w:styleId="Normale1">
    <w:name w:val="Normale1"/>
    <w:rsid w:val="00BB5EE8"/>
    <w:pPr>
      <w:suppressAutoHyphens/>
      <w:autoSpaceDE w:val="0"/>
    </w:pPr>
    <w:rPr>
      <w:rFonts w:cs="Calibri"/>
      <w:color w:val="000000"/>
      <w:sz w:val="24"/>
      <w:szCs w:val="24"/>
      <w:lang w:eastAsia="zh-CN"/>
    </w:rPr>
  </w:style>
  <w:style w:type="paragraph" w:styleId="Intestazione">
    <w:name w:val="header"/>
    <w:basedOn w:val="Normale"/>
    <w:link w:val="IntestazioneCarattere"/>
    <w:unhideWhenUsed/>
    <w:rsid w:val="008A5ECE"/>
    <w:pPr>
      <w:tabs>
        <w:tab w:val="center" w:pos="4819"/>
        <w:tab w:val="right" w:pos="9638"/>
      </w:tabs>
    </w:pPr>
  </w:style>
  <w:style w:type="character" w:customStyle="1" w:styleId="IntestazioneCarattere">
    <w:name w:val="Intestazione Carattere"/>
    <w:basedOn w:val="Carpredefinitoparagrafo"/>
    <w:link w:val="Intestazione"/>
    <w:rsid w:val="008A5ECE"/>
    <w:rPr>
      <w:sz w:val="22"/>
      <w:szCs w:val="22"/>
      <w:lang w:eastAsia="en-US"/>
    </w:rPr>
  </w:style>
  <w:style w:type="paragraph" w:styleId="Pidipagina">
    <w:name w:val="footer"/>
    <w:basedOn w:val="Normale"/>
    <w:link w:val="PidipaginaCarattere"/>
    <w:uiPriority w:val="99"/>
    <w:unhideWhenUsed/>
    <w:rsid w:val="008A5ECE"/>
    <w:pPr>
      <w:tabs>
        <w:tab w:val="center" w:pos="4819"/>
        <w:tab w:val="right" w:pos="9638"/>
      </w:tabs>
    </w:pPr>
  </w:style>
  <w:style w:type="character" w:customStyle="1" w:styleId="PidipaginaCarattere">
    <w:name w:val="Piè di pagina Carattere"/>
    <w:basedOn w:val="Carpredefinitoparagrafo"/>
    <w:link w:val="Pidipagina"/>
    <w:uiPriority w:val="99"/>
    <w:rsid w:val="008A5ECE"/>
    <w:rPr>
      <w:sz w:val="22"/>
      <w:szCs w:val="22"/>
      <w:lang w:eastAsia="en-US"/>
    </w:rPr>
  </w:style>
  <w:style w:type="paragraph" w:customStyle="1" w:styleId="Elenco31">
    <w:name w:val="Elenco 31"/>
    <w:basedOn w:val="Normale"/>
    <w:semiHidden/>
    <w:rsid w:val="00DE0577"/>
    <w:pPr>
      <w:tabs>
        <w:tab w:val="num" w:pos="360"/>
      </w:tabs>
      <w:spacing w:before="0" w:beforeAutospacing="0"/>
    </w:pPr>
    <w:rPr>
      <w:rFonts w:ascii="Times New Roman" w:eastAsia="Times New Roman" w:hAnsi="Times New Roman"/>
      <w:sz w:val="20"/>
      <w:szCs w:val="20"/>
      <w:lang w:eastAsia="it-IT"/>
    </w:rPr>
  </w:style>
  <w:style w:type="paragraph" w:customStyle="1" w:styleId="Elenco51">
    <w:name w:val="Elenco 51"/>
    <w:basedOn w:val="Normale"/>
    <w:semiHidden/>
    <w:rsid w:val="00DE0577"/>
    <w:pPr>
      <w:tabs>
        <w:tab w:val="num" w:pos="360"/>
      </w:tabs>
      <w:spacing w:before="0" w:beforeAutospacing="0"/>
    </w:pPr>
    <w:rPr>
      <w:rFonts w:ascii="Times New Roman" w:eastAsia="Times New Roman" w:hAnsi="Times New Roman"/>
      <w:sz w:val="20"/>
      <w:szCs w:val="20"/>
      <w:lang w:eastAsia="it-IT"/>
    </w:rPr>
  </w:style>
  <w:style w:type="table" w:styleId="Grigliatabella">
    <w:name w:val="Table Grid"/>
    <w:basedOn w:val="Tabellanormale"/>
    <w:uiPriority w:val="59"/>
    <w:rsid w:val="00A80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rsid w:val="00AE1AE3"/>
    <w:rPr>
      <w:rFonts w:ascii="Arial" w:eastAsia="Times New Roman" w:hAnsi="Arial" w:cs="Arial"/>
      <w:b/>
      <w:bCs/>
      <w:sz w:val="22"/>
      <w:szCs w:val="24"/>
    </w:rPr>
  </w:style>
  <w:style w:type="paragraph" w:styleId="Testofumetto">
    <w:name w:val="Balloon Text"/>
    <w:basedOn w:val="Normale"/>
    <w:link w:val="TestofumettoCarattere"/>
    <w:uiPriority w:val="99"/>
    <w:semiHidden/>
    <w:unhideWhenUsed/>
    <w:rsid w:val="00E81F14"/>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1F14"/>
    <w:rPr>
      <w:rFonts w:ascii="Tahoma" w:hAnsi="Tahoma" w:cs="Tahoma"/>
      <w:sz w:val="16"/>
      <w:szCs w:val="16"/>
      <w:lang w:eastAsia="en-US"/>
    </w:rPr>
  </w:style>
  <w:style w:type="paragraph" w:styleId="Paragrafoelenco">
    <w:name w:val="List Paragraph"/>
    <w:basedOn w:val="Normale"/>
    <w:uiPriority w:val="34"/>
    <w:qFormat/>
    <w:rsid w:val="0073473A"/>
    <w:pPr>
      <w:ind w:left="720"/>
      <w:contextualSpacing/>
    </w:pPr>
  </w:style>
</w:styles>
</file>

<file path=word/webSettings.xml><?xml version="1.0" encoding="utf-8"?>
<w:webSettings xmlns:r="http://schemas.openxmlformats.org/officeDocument/2006/relationships" xmlns:w="http://schemas.openxmlformats.org/wordprocessingml/2006/main">
  <w:divs>
    <w:div w:id="7031224">
      <w:bodyDiv w:val="1"/>
      <w:marLeft w:val="0"/>
      <w:marRight w:val="0"/>
      <w:marTop w:val="0"/>
      <w:marBottom w:val="0"/>
      <w:divBdr>
        <w:top w:val="none" w:sz="0" w:space="0" w:color="auto"/>
        <w:left w:val="none" w:sz="0" w:space="0" w:color="auto"/>
        <w:bottom w:val="none" w:sz="0" w:space="0" w:color="auto"/>
        <w:right w:val="none" w:sz="0" w:space="0" w:color="auto"/>
      </w:divBdr>
    </w:div>
    <w:div w:id="139150287">
      <w:bodyDiv w:val="1"/>
      <w:marLeft w:val="0"/>
      <w:marRight w:val="0"/>
      <w:marTop w:val="0"/>
      <w:marBottom w:val="0"/>
      <w:divBdr>
        <w:top w:val="none" w:sz="0" w:space="0" w:color="auto"/>
        <w:left w:val="none" w:sz="0" w:space="0" w:color="auto"/>
        <w:bottom w:val="none" w:sz="0" w:space="0" w:color="auto"/>
        <w:right w:val="none" w:sz="0" w:space="0" w:color="auto"/>
      </w:divBdr>
    </w:div>
    <w:div w:id="584921542">
      <w:bodyDiv w:val="1"/>
      <w:marLeft w:val="0"/>
      <w:marRight w:val="0"/>
      <w:marTop w:val="0"/>
      <w:marBottom w:val="0"/>
      <w:divBdr>
        <w:top w:val="none" w:sz="0" w:space="0" w:color="auto"/>
        <w:left w:val="none" w:sz="0" w:space="0" w:color="auto"/>
        <w:bottom w:val="none" w:sz="0" w:space="0" w:color="auto"/>
        <w:right w:val="none" w:sz="0" w:space="0" w:color="auto"/>
      </w:divBdr>
    </w:div>
    <w:div w:id="1079596067">
      <w:bodyDiv w:val="1"/>
      <w:marLeft w:val="0"/>
      <w:marRight w:val="0"/>
      <w:marTop w:val="0"/>
      <w:marBottom w:val="0"/>
      <w:divBdr>
        <w:top w:val="none" w:sz="0" w:space="0" w:color="auto"/>
        <w:left w:val="none" w:sz="0" w:space="0" w:color="auto"/>
        <w:bottom w:val="none" w:sz="0" w:space="0" w:color="auto"/>
        <w:right w:val="none" w:sz="0" w:space="0" w:color="auto"/>
      </w:divBdr>
      <w:divsChild>
        <w:div w:id="976685235">
          <w:marLeft w:val="0"/>
          <w:marRight w:val="0"/>
          <w:marTop w:val="0"/>
          <w:marBottom w:val="0"/>
          <w:divBdr>
            <w:top w:val="none" w:sz="0" w:space="0" w:color="auto"/>
            <w:left w:val="none" w:sz="0" w:space="0" w:color="auto"/>
            <w:bottom w:val="none" w:sz="0" w:space="0" w:color="auto"/>
            <w:right w:val="none" w:sz="0" w:space="0" w:color="auto"/>
          </w:divBdr>
          <w:divsChild>
            <w:div w:id="1460957880">
              <w:marLeft w:val="-15"/>
              <w:marRight w:val="0"/>
              <w:marTop w:val="0"/>
              <w:marBottom w:val="0"/>
              <w:divBdr>
                <w:top w:val="none" w:sz="0" w:space="0" w:color="auto"/>
                <w:left w:val="single" w:sz="6" w:space="0" w:color="DDDDDD"/>
                <w:bottom w:val="none" w:sz="0" w:space="0" w:color="auto"/>
                <w:right w:val="none" w:sz="0" w:space="0" w:color="auto"/>
              </w:divBdr>
              <w:divsChild>
                <w:div w:id="5107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04687">
      <w:bodyDiv w:val="1"/>
      <w:marLeft w:val="0"/>
      <w:marRight w:val="0"/>
      <w:marTop w:val="0"/>
      <w:marBottom w:val="0"/>
      <w:divBdr>
        <w:top w:val="none" w:sz="0" w:space="0" w:color="auto"/>
        <w:left w:val="none" w:sz="0" w:space="0" w:color="auto"/>
        <w:bottom w:val="none" w:sz="0" w:space="0" w:color="auto"/>
        <w:right w:val="none" w:sz="0" w:space="0" w:color="auto"/>
      </w:divBdr>
    </w:div>
    <w:div w:id="15821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780</Words>
  <Characters>4450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Galdino Cassavia</dc:creator>
  <cp:lastModifiedBy> </cp:lastModifiedBy>
  <cp:revision>7</cp:revision>
  <cp:lastPrinted>2014-02-03T10:58:00Z</cp:lastPrinted>
  <dcterms:created xsi:type="dcterms:W3CDTF">2014-02-04T13:31:00Z</dcterms:created>
  <dcterms:modified xsi:type="dcterms:W3CDTF">2014-02-04T16:02:00Z</dcterms:modified>
</cp:coreProperties>
</file>